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customXml/_rels/item1.xml.rels" ContentType="application/vnd.openxmlformats-package.relationships+xml"/>
  <Override PartName="/customXml/itemProps1.xml" ContentType="application/vnd.openxmlformats-officedocument.customXmlProperties+xml"/>
  <Override PartName="/customXml/item1.xml" ContentType="application/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media/image156.jpeg" ContentType="image/jpeg"/>
  <Override PartName="/word/media/image155.jpeg" ContentType="image/jpeg"/>
  <Override PartName="/word/media/image154.jpeg" ContentType="image/jpeg"/>
  <Override PartName="/word/media/image153.jpeg" ContentType="image/jpeg"/>
  <Override PartName="/word/media/image152.jpeg" ContentType="image/jpeg"/>
  <Override PartName="/word/media/image151.jpeg" ContentType="image/jpeg"/>
  <Override PartName="/word/media/image150.jpeg" ContentType="image/jpeg"/>
  <Override PartName="/word/media/image146.jpeg" ContentType="image/jpeg"/>
  <Override PartName="/word/media/image145.jpeg" ContentType="image/jpeg"/>
  <Override PartName="/word/media/image144.jpeg" ContentType="image/jpeg"/>
  <Override PartName="/word/media/image143.jpeg" ContentType="image/jpeg"/>
  <Override PartName="/word/media/image142.jpeg" ContentType="image/jpeg"/>
  <Override PartName="/word/media/image141.jpeg" ContentType="image/jpeg"/>
  <Override PartName="/word/media/image140.jpeg" ContentType="image/jpeg"/>
  <Override PartName="/word/media/image137.jpeg" ContentType="image/jpeg"/>
  <Override PartName="/word/media/image136.jpeg" ContentType="image/jpeg"/>
  <Override PartName="/word/media/image135.jpeg" ContentType="image/jpeg"/>
  <Override PartName="/word/media/image134.jpeg" ContentType="image/jpeg"/>
  <Override PartName="/word/media/image133.jpeg" ContentType="image/jpeg"/>
  <Override PartName="/word/media/image132.jpeg" ContentType="image/jpeg"/>
  <Override PartName="/word/media/image131.jpeg" ContentType="image/jpeg"/>
  <Override PartName="/word/media/image130.jpeg" ContentType="image/jpeg"/>
  <Override PartName="/word/media/image129.jpeg" ContentType="image/jpeg"/>
  <Override PartName="/word/media/image128.jpeg" ContentType="image/jpeg"/>
  <Override PartName="/word/media/image160.jpeg" ContentType="image/jpeg"/>
  <Override PartName="/word/media/image127.jpeg" ContentType="image/jpeg"/>
  <Override PartName="/word/media/image126.jpeg" ContentType="image/jpeg"/>
  <Override PartName="/word/media/image125.jpeg" ContentType="image/jpeg"/>
  <Override PartName="/word/media/image124.jpeg" ContentType="image/jpeg"/>
  <Override PartName="/word/media/image123.jpeg" ContentType="image/jpeg"/>
  <Override PartName="/word/media/image122.jpeg" ContentType="image/jpeg"/>
  <Override PartName="/word/media/image121.jpeg" ContentType="image/jpeg"/>
  <Override PartName="/word/media/image120.jpeg" ContentType="image/jpeg"/>
  <Override PartName="/word/media/image113.jpeg" ContentType="image/jpeg"/>
  <Override PartName="/word/media/image112.jpeg" ContentType="image/jpeg"/>
  <Override PartName="/word/media/image139.jpeg" ContentType="image/jpeg"/>
  <Override PartName="/word/media/image111.jpeg" ContentType="image/jpeg"/>
  <Override PartName="/word/media/image138.jpeg" ContentType="image/jpeg"/>
  <Override PartName="/word/media/image110.jpeg" ContentType="image/jpeg"/>
  <Override PartName="/word/media/image109.jpeg" ContentType="image/jpeg"/>
  <Override PartName="/word/media/image108.jpeg" ContentType="image/jpeg"/>
  <Override PartName="/word/media/image107.jpeg" ContentType="image/jpeg"/>
  <Override PartName="/word/media/image106.jpeg" ContentType="image/jpeg"/>
  <Override PartName="/word/media/image105.jpeg" ContentType="image/jpeg"/>
  <Override PartName="/word/media/image104.jpeg" ContentType="image/jpeg"/>
  <Override PartName="/word/media/image103.jpeg" ContentType="image/jpeg"/>
  <Override PartName="/word/media/image102.jpeg" ContentType="image/jpeg"/>
  <Override PartName="/word/media/image101.jpeg" ContentType="image/jpeg"/>
  <Override PartName="/word/media/image100.jpeg" ContentType="image/jpeg"/>
  <Override PartName="/word/media/image97.jpeg" ContentType="image/jpeg"/>
  <Override PartName="/word/media/image52.jpeg" ContentType="image/jpeg"/>
  <Override PartName="/word/media/image51.jpeg" ContentType="image/jpeg"/>
  <Override PartName="/word/media/image34.jpeg" ContentType="image/jpeg"/>
  <Override PartName="/word/media/image77.jpeg" ContentType="image/jpeg"/>
  <Override PartName="/word/media/image33.jpeg" ContentType="image/jpeg"/>
  <Override PartName="/word/media/image76.jpeg" ContentType="image/jpeg"/>
  <Override PartName="/word/media/image32.jpeg" ContentType="image/jpeg"/>
  <Override PartName="/word/media/image2.jpeg" ContentType="image/jpeg"/>
  <Override PartName="/word/media/image19.jpeg" ContentType="image/jpeg"/>
  <Override PartName="/word/media/image75.jpeg" ContentType="image/jpeg"/>
  <Override PartName="/word/media/image31.jpeg" ContentType="image/jpeg"/>
  <Override PartName="/word/media/image1.jpeg" ContentType="image/jpeg"/>
  <Override PartName="/word/media/image18.jpeg" ContentType="image/jpeg"/>
  <Override PartName="/word/media/image74.jpeg" ContentType="image/jpeg"/>
  <Override PartName="/word/media/image30.jpeg" ContentType="image/jpeg"/>
  <Override PartName="/word/media/image17.jpeg" ContentType="image/jpeg"/>
  <Override PartName="/word/media/image73.jpeg" ContentType="image/jpeg"/>
  <Override PartName="/word/media/image29.jpeg" ContentType="image/jpeg"/>
  <Override PartName="/word/media/image28.jpeg" ContentType="image/jpeg"/>
  <Override PartName="/word/media/image88.jpeg" ContentType="image/jpeg"/>
  <Override PartName="/word/media/image27.jpeg" ContentType="image/jpeg"/>
  <Override PartName="/word/media/image87.jpeg" ContentType="image/jpeg"/>
  <Override PartName="/word/media/image26.jpeg" ContentType="image/jpeg"/>
  <Override PartName="/word/media/image9.jpeg" ContentType="image/jpeg"/>
  <Override PartName="/word/media/image8.jpeg" ContentType="image/jpeg"/>
  <Override PartName="/word/media/image7.jpeg" ContentType="image/jpeg"/>
  <Override PartName="/word/media/image35.jpeg" ContentType="image/jpeg"/>
  <Override PartName="/word/media/image3.jpeg" ContentType="image/jpeg"/>
  <Override PartName="/word/media/image78.jpeg" ContentType="image/jpeg"/>
  <Override PartName="/word/media/image10.jpeg" ContentType="image/jpeg"/>
  <Override PartName="/word/media/image53.jpeg" ContentType="image/jpeg"/>
  <Override PartName="/word/media/image6.jpeg" ContentType="image/jpeg"/>
  <Override PartName="/word/media/image5.jpeg" ContentType="image/jpeg"/>
  <Override PartName="/word/media/image37.jpeg" ContentType="image/jpeg"/>
  <Override PartName="/word/media/image4.jpeg" ContentType="image/jpeg"/>
  <Override PartName="/word/media/image36.jpeg" ContentType="image/jpeg"/>
  <Override PartName="/word/media/image79.jpeg" ContentType="image/jpeg"/>
  <Override PartName="/word/media/image11.jpeg" ContentType="image/jpeg"/>
  <Override PartName="/word/media/image54.jpeg" ContentType="image/jpeg"/>
  <Override PartName="/word/media/image157.jpeg" ContentType="image/jpeg"/>
  <Override PartName="/word/media/image42.jpeg" ContentType="image/jpeg"/>
  <Override PartName="/word/media/image12.jpeg" ContentType="image/jpeg"/>
  <Override PartName="/word/media/image55.jpeg" ContentType="image/jpeg"/>
  <Override PartName="/word/media/image158.jpeg" ContentType="image/jpeg"/>
  <Override PartName="/word/media/image43.jpeg" ContentType="image/jpeg"/>
  <Override PartName="/word/media/image13.jpeg" ContentType="image/jpeg"/>
  <Override PartName="/word/media/image56.jpeg" ContentType="image/jpeg"/>
  <Override PartName="/word/media/image159.jpeg" ContentType="image/jpeg"/>
  <Override PartName="/word/media/image44.jpeg" ContentType="image/jpeg"/>
  <Override PartName="/word/media/image14.jpeg" ContentType="image/jpeg"/>
  <Override PartName="/word/media/image90.jpeg" ContentType="image/jpeg"/>
  <Override PartName="/word/media/image57.jpeg" ContentType="image/jpeg"/>
  <Override PartName="/word/media/image98.jpeg" ContentType="image/jpeg"/>
  <Override PartName="/word/media/image70.jpeg" ContentType="image/jpeg"/>
  <Override PartName="/word/media/image45.jpeg" ContentType="image/jpeg"/>
  <Override PartName="/word/media/image15.jpeg" ContentType="image/jpeg"/>
  <Override PartName="/word/media/image91.jpeg" ContentType="image/jpeg"/>
  <Override PartName="/word/media/image58.jpeg" ContentType="image/jpeg"/>
  <Override PartName="/word/media/image99.jpeg" ContentType="image/jpeg"/>
  <Override PartName="/word/media/image38.jpeg" ContentType="image/jpeg"/>
  <Override PartName="/word/media/image71.jpeg" ContentType="image/jpeg"/>
  <Override PartName="/word/media/image46.jpeg" ContentType="image/jpeg"/>
  <Override PartName="/word/media/image89.jpeg" ContentType="image/jpeg"/>
  <Override PartName="/word/media/image16.jpeg" ContentType="image/jpeg"/>
  <Override PartName="/word/media/image92.jpeg" ContentType="image/jpeg"/>
  <Override PartName="/word/media/image59.jpeg" ContentType="image/jpeg"/>
  <Override PartName="/word/media/image39.jpeg" ContentType="image/jpeg"/>
  <Override PartName="/word/media/image72.jpeg" ContentType="image/jpeg"/>
  <Override PartName="/word/media/image114.jpeg" ContentType="image/jpeg"/>
  <Override PartName="/word/media/image60.jpeg" ContentType="image/jpeg"/>
  <Override PartName="/word/media/image115.jpeg" ContentType="image/jpeg"/>
  <Override PartName="/word/media/image61.jpeg" ContentType="image/jpeg"/>
  <Override PartName="/word/media/image116.jpeg" ContentType="image/jpeg"/>
  <Override PartName="/word/media/image62.jpeg" ContentType="image/jpeg"/>
  <Override PartName="/word/media/image50.jpeg" ContentType="image/jpeg"/>
  <Override PartName="/word/media/image25.jpeg" ContentType="image/jpeg"/>
  <Override PartName="/word/media/image86.jpeg" ContentType="image/jpeg"/>
  <Override PartName="/word/media/image117.jpeg" ContentType="image/jpeg"/>
  <Override PartName="/word/media/image63.jpeg" ContentType="image/jpeg"/>
  <Override PartName="/word/media/image118.jpeg" ContentType="image/jpeg"/>
  <Override PartName="/word/media/image64.jpeg" ContentType="image/jpeg"/>
  <Override PartName="/word/media/image119.jpeg" ContentType="image/jpeg"/>
  <Override PartName="/word/media/image65.jpeg" ContentType="image/jpeg"/>
  <Override PartName="/word/media/image66.jpeg" ContentType="image/jpeg"/>
  <Override PartName="/word/media/image67.jpeg" ContentType="image/jpeg"/>
  <Override PartName="/word/media/image47.jpeg" ContentType="image/jpeg"/>
  <Override PartName="/word/media/image80.jpeg" ContentType="image/jpeg"/>
  <Override PartName="/word/media/image40.jpeg" ContentType="image/jpeg"/>
  <Override PartName="/word/media/image68.jpeg" ContentType="image/jpeg"/>
  <Override PartName="/word/media/image20.jpeg" ContentType="image/jpeg"/>
  <Override PartName="/word/media/image48.jpeg" ContentType="image/jpeg"/>
  <Override PartName="/word/media/image81.jpeg" ContentType="image/jpeg"/>
  <Override PartName="/word/media/image41.jpeg" ContentType="image/jpeg"/>
  <Override PartName="/word/media/image69.jpeg" ContentType="image/jpeg"/>
  <Override PartName="/word/media/image21.jpeg" ContentType="image/jpeg"/>
  <Override PartName="/word/media/image49.jpeg" ContentType="image/jpeg"/>
  <Override PartName="/word/media/image82.jpeg" ContentType="image/jpeg"/>
  <Override PartName="/word/media/image22.jpeg" ContentType="image/jpeg"/>
  <Override PartName="/word/media/image83.jpeg" ContentType="image/jpeg"/>
  <Override PartName="/word/media/image23.jpeg" ContentType="image/jpeg"/>
  <Override PartName="/word/media/image84.jpeg" ContentType="image/jpeg"/>
  <Override PartName="/word/media/image24.jpeg" ContentType="image/jpeg"/>
  <Override PartName="/word/media/image85.jpeg" ContentType="image/jpeg"/>
  <Override PartName="/word/media/image147.jpeg" ContentType="image/jpeg"/>
  <Override PartName="/word/media/image93.jpeg" ContentType="image/jpeg"/>
  <Override PartName="/word/media/image148.jpeg" ContentType="image/jpeg"/>
  <Override PartName="/word/media/image94.jpeg" ContentType="image/jpeg"/>
  <Override PartName="/word/media/image149.jpeg" ContentType="image/jpeg"/>
  <Override PartName="/word/media/image95.jpeg" ContentType="image/jpeg"/>
  <Override PartName="/word/media/image96.jpeg" ContentType="image/jpeg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ind w:right="567" w:hanging="1134"/>
        <w:jc w:val="center"/>
        <w:rPr/>
      </w:pPr>
      <w:r>
        <w:rPr>
          <w:bCs/>
          <w:sz w:val="20"/>
          <w:szCs w:val="20"/>
        </w:rPr>
        <w:t xml:space="preserve">                   </w:t>
      </w:r>
      <w:r>
        <w:rPr>
          <w:bCs/>
          <w:sz w:val="20"/>
          <w:szCs w:val="20"/>
        </w:rPr>
        <w:t>ОГРН 1127747107553</w:t>
      </w:r>
      <w:r>
        <w:rPr>
          <w:bCs/>
          <w:sz w:val="20"/>
          <w:szCs w:val="20"/>
        </w:rPr>
        <w:fldChar w:fldCharType="begin"/>
      </w:r>
      <w:r>
        <w:rPr>
          <w:sz w:val="20"/>
          <w:szCs w:val="20"/>
          <w:bCs/>
        </w:rPr>
        <w:instrText> MERGEFIELD ОГРН_оценщикаконтрактора </w:instrText>
      </w:r>
      <w:r>
        <w:rPr>
          <w:sz w:val="20"/>
          <w:szCs w:val="20"/>
          <w:bCs/>
        </w:rPr>
        <w:fldChar w:fldCharType="separate"/>
      </w:r>
      <w:r>
        <w:rPr>
          <w:sz w:val="20"/>
          <w:szCs w:val="20"/>
          <w:bCs/>
        </w:rPr>
      </w:r>
      <w:r>
        <w:rPr>
          <w:sz w:val="20"/>
          <w:szCs w:val="20"/>
          <w:bCs/>
        </w:rPr>
        <w:fldChar w:fldCharType="end"/>
      </w:r>
      <w:r>
        <w:rPr>
          <w:bCs/>
          <w:sz w:val="20"/>
          <w:szCs w:val="20"/>
        </w:rPr>
        <w:t xml:space="preserve">, ИНН/КПП 7709915321/772501001, </w:t>
        <w:br/>
        <w:t xml:space="preserve">Адрес: </w:t>
      </w:r>
      <w:r>
        <w:rPr>
          <w:bCs/>
          <w:sz w:val="20"/>
          <w:szCs w:val="20"/>
        </w:rPr>
        <w:fldChar w:fldCharType="begin"/>
      </w:r>
      <w:r>
        <w:rPr>
          <w:sz w:val="20"/>
          <w:szCs w:val="20"/>
          <w:bCs/>
        </w:rPr>
        <w:instrText> MERGEFIELD Юридический_адрес_оценщикаконтрактора </w:instrText>
      </w:r>
      <w:r>
        <w:rPr>
          <w:sz w:val="20"/>
          <w:szCs w:val="20"/>
          <w:bCs/>
        </w:rPr>
        <w:fldChar w:fldCharType="separate"/>
      </w:r>
      <w:r>
        <w:rPr>
          <w:sz w:val="20"/>
          <w:szCs w:val="20"/>
          <w:bCs/>
        </w:rPr>
        <w:t xml:space="preserve">РФ, 115280, г. Москва, ул. Ленинская Слобода, д.19, эт. 6/3К, комн. 3Л </w:t>
      </w:r>
      <w:r>
        <w:rPr>
          <w:sz w:val="20"/>
          <w:szCs w:val="20"/>
          <w:bCs/>
        </w:rPr>
        <w:fldChar w:fldCharType="end"/>
      </w:r>
      <w:r>
        <w:rPr>
          <w:bCs/>
          <w:sz w:val="20"/>
          <w:szCs w:val="20"/>
        </w:rPr>
        <w:br/>
        <w:t xml:space="preserve">Тел. </w:t>
      </w:r>
      <w:r>
        <w:rPr>
          <w:bCs/>
          <w:sz w:val="20"/>
          <w:szCs w:val="20"/>
        </w:rPr>
        <w:fldChar w:fldCharType="begin"/>
      </w:r>
      <w:r>
        <w:rPr>
          <w:sz w:val="20"/>
          <w:szCs w:val="20"/>
          <w:bCs/>
        </w:rPr>
        <w:instrText> MERGEFIELD Телефон_с_кодом_и_факс_с_кодом </w:instrText>
      </w:r>
      <w:r>
        <w:rPr>
          <w:sz w:val="20"/>
          <w:szCs w:val="20"/>
          <w:bCs/>
        </w:rPr>
        <w:fldChar w:fldCharType="separate"/>
      </w:r>
      <w:r>
        <w:rPr>
          <w:sz w:val="20"/>
          <w:szCs w:val="20"/>
          <w:bCs/>
        </w:rPr>
        <w:t>(495) 795-16-</w:t>
      </w:r>
      <w:r>
        <w:rPr>
          <w:sz w:val="20"/>
          <w:szCs w:val="20"/>
          <w:bCs/>
        </w:rPr>
        <w:fldChar w:fldCharType="end"/>
      </w:r>
      <w:r>
        <w:rPr>
          <w:bCs/>
          <w:sz w:val="20"/>
          <w:szCs w:val="20"/>
        </w:rPr>
        <w:t xml:space="preserve">50, </w:t>
      </w:r>
      <w:r>
        <w:rPr>
          <w:bCs/>
          <w:sz w:val="20"/>
          <w:szCs w:val="20"/>
          <w:lang w:val="en-US"/>
        </w:rPr>
        <w:t>e</w:t>
      </w:r>
      <w:r>
        <w:rPr>
          <w:bCs/>
          <w:sz w:val="20"/>
          <w:szCs w:val="20"/>
        </w:rPr>
        <w:t>-</w:t>
      </w:r>
      <w:r>
        <w:rPr>
          <w:bCs/>
          <w:sz w:val="20"/>
          <w:szCs w:val="20"/>
          <w:lang w:val="en-US"/>
        </w:rPr>
        <w:t>mail</w:t>
      </w:r>
      <w:r>
        <w:rPr>
          <w:bCs/>
          <w:sz w:val="20"/>
          <w:szCs w:val="20"/>
        </w:rPr>
        <w:t xml:space="preserve">: </w:t>
      </w:r>
      <w:r>
        <w:rPr>
          <w:bCs/>
          <w:sz w:val="20"/>
          <w:szCs w:val="20"/>
          <w:lang w:val="en-US"/>
        </w:rPr>
        <w:t>euro</w:t>
      </w:r>
      <w:r>
        <w:rPr>
          <w:bCs/>
          <w:sz w:val="20"/>
          <w:szCs w:val="20"/>
        </w:rPr>
        <w:t>.</w:t>
      </w:r>
      <w:r>
        <w:rPr>
          <w:bCs/>
          <w:sz w:val="20"/>
          <w:szCs w:val="20"/>
          <w:lang w:val="en-US"/>
        </w:rPr>
        <w:t>otsenka</w:t>
      </w:r>
      <w:r>
        <w:rPr>
          <w:bCs/>
          <w:sz w:val="20"/>
          <w:szCs w:val="20"/>
        </w:rPr>
        <w:t>@</w:t>
      </w:r>
      <w:r>
        <w:rPr>
          <w:bCs/>
          <w:sz w:val="20"/>
          <w:szCs w:val="20"/>
          <w:lang w:val="en-US"/>
        </w:rPr>
        <w:t>gmail</w:t>
      </w:r>
      <w:r>
        <w:rPr>
          <w:bCs/>
          <w:sz w:val="20"/>
          <w:szCs w:val="20"/>
        </w:rPr>
        <w:t>.</w:t>
      </w:r>
      <w:r>
        <w:rPr>
          <w:bCs/>
          <w:sz w:val="20"/>
          <w:szCs w:val="20"/>
          <w:lang w:val="en-US"/>
        </w:rPr>
        <w:t>com</w:t>
      </w:r>
    </w:p>
    <w:p>
      <w:pPr>
        <w:pStyle w:val="Normal"/>
        <w:pBdr/>
        <w:ind w:left="-851" w:hanging="283"/>
        <w:rPr/>
        <w:framePr w:w="23" w:h="2517" w:x="5163" w:y="235" w:wrap="auto" w:vAnchor="page" w:hAnchor="margin" w:hRule="exact"/>
      </w:pPr>
      <w:bookmarkStart w:id="0" w:name="_Hlk27803941"/>
      <w:r>
        <w:rPr/>
        <w:t xml:space="preserve">                    </w:t>
      </w:r>
      <w:bookmarkEnd w:id="0"/>
      <w:r>
        <w:rPr/>
        <w:drawing>
          <wp:inline distT="0" distB="0" distL="0" distR="5080">
            <wp:extent cx="6109970" cy="1276350"/>
            <wp:effectExtent l="0" t="0" r="0" b="0"/>
            <wp:docPr id="1" name="Рисунок 20" descr="Itog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20" descr="Itog111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pBdr/>
        <w:jc w:val="center"/>
        <w:rPr>
          <w:bCs/>
          <w:sz w:val="20"/>
          <w:szCs w:val="20"/>
        </w:rPr>
        <w:framePr w:w="23" w:h="2517" w:x="5163" w:y="235" w:wrap="auto" w:vAnchor="page" w:hAnchor="margin" w:hRule="exact"/>
      </w:pPr>
      <w:r>
        <w:rPr>
          <w:bCs/>
          <w:sz w:val="20"/>
          <w:szCs w:val="20"/>
        </w:rPr>
      </w:r>
    </w:p>
    <w:p>
      <w:pPr>
        <w:pStyle w:val="Normal"/>
        <w:jc w:val="right"/>
        <w:rPr>
          <w:bCs/>
        </w:rPr>
      </w:pPr>
      <w:r>
        <w:rPr>
          <w:bCs/>
        </w:rPr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jc w:val="right"/>
        <w:rPr/>
      </w:pPr>
      <w:r>
        <w:rPr/>
        <w:t>Утверждаю</w:t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>
          <w:bCs/>
        </w:rPr>
        <w:t xml:space="preserve">Генеральный </w:t>
      </w:r>
      <w:r>
        <w:rPr>
          <w:bCs/>
          <w:lang w:val="en-US"/>
        </w:rPr>
        <w:fldChar w:fldCharType="begin"/>
      </w:r>
      <w:r>
        <w:rPr>
          <w:bCs/>
        </w:rPr>
        <w:instrText> MERGEFIELD Должность_лица_утверждающего_отчет </w:instrText>
      </w:r>
      <w:r>
        <w:rPr>
          <w:bCs/>
        </w:rPr>
        <w:fldChar w:fldCharType="separate"/>
      </w:r>
      <w:r>
        <w:rPr>
          <w:bCs/>
        </w:rPr>
        <w:t>Директор</w:t>
      </w:r>
      <w:r>
        <w:rPr>
          <w:bCs/>
        </w:rPr>
        <w:fldChar w:fldCharType="end"/>
      </w:r>
      <w:r>
        <w:rPr>
          <w:bCs/>
        </w:rPr>
        <w:br/>
        <w:t xml:space="preserve"> </w:t>
      </w:r>
    </w:p>
    <w:p>
      <w:pPr>
        <w:pStyle w:val="Normal"/>
        <w:jc w:val="right"/>
        <w:rPr>
          <w:bCs/>
        </w:rPr>
      </w:pPr>
      <w:r>
        <w:rPr>
          <w:bCs/>
        </w:rPr>
        <w:t xml:space="preserve">_____________________________ </w:t>
      </w:r>
    </w:p>
    <w:p>
      <w:pPr>
        <w:pStyle w:val="Normal"/>
        <w:jc w:val="right"/>
        <w:rPr/>
      </w:pPr>
      <w:r>
        <w:rPr>
          <w:bCs/>
        </w:rPr>
        <w:t>м.п.</w:t>
        <w:tab/>
        <w:t>Попов Иван Владимирович</w:t>
      </w:r>
      <w:r>
        <w:rPr>
          <w:bCs/>
          <w:lang w:val="en-US"/>
        </w:rPr>
        <w:fldChar w:fldCharType="begin"/>
      </w:r>
      <w:r>
        <w:rPr>
          <w:bCs/>
        </w:rPr>
        <w:instrText> MERGEFIELD Фамилия_И_О_лица_утверждающего_отчет </w:instrText>
      </w:r>
      <w:r>
        <w:rPr>
          <w:bCs/>
        </w:rPr>
        <w:fldChar w:fldCharType="separate"/>
      </w:r>
      <w:r>
        <w:rPr>
          <w:bCs/>
        </w:rPr>
      </w:r>
      <w:r>
        <w:rPr>
          <w:bCs/>
        </w:rPr>
        <w:fldChar w:fldCharType="end"/>
      </w:r>
    </w:p>
    <w:p>
      <w:pPr>
        <w:pStyle w:val="Normal"/>
        <w:jc w:val="right"/>
        <w:rPr/>
      </w:pPr>
      <w:r>
        <w:rPr/>
        <w:t>«__» _______________2023 г.</w:t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tabs>
          <w:tab w:val="clear" w:pos="708"/>
          <w:tab w:val="left" w:pos="10348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</w:r>
    </w:p>
    <w:p>
      <w:pPr>
        <w:pStyle w:val="Normal"/>
        <w:tabs>
          <w:tab w:val="clear" w:pos="708"/>
          <w:tab w:val="left" w:pos="10348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</w:r>
    </w:p>
    <w:p>
      <w:pPr>
        <w:pStyle w:val="Normal"/>
        <w:tabs>
          <w:tab w:val="clear" w:pos="708"/>
          <w:tab w:val="left" w:pos="10348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</w:r>
    </w:p>
    <w:p>
      <w:pPr>
        <w:pStyle w:val="Normal"/>
        <w:tabs>
          <w:tab w:val="clear" w:pos="708"/>
          <w:tab w:val="left" w:pos="9923" w:leader="none"/>
        </w:tabs>
        <w:jc w:val="center"/>
        <w:rPr>
          <w:b/>
          <w:b/>
          <w:sz w:val="36"/>
          <w:szCs w:val="36"/>
        </w:rPr>
      </w:pPr>
      <w:bookmarkStart w:id="1" w:name="__DdeLink__7444_355401146"/>
      <w:r>
        <w:rPr>
          <w:b/>
          <w:sz w:val="36"/>
          <w:szCs w:val="36"/>
        </w:rPr>
        <w:t xml:space="preserve">ЗАКЛЮЧЕНИЕ № </w:t>
      </w:r>
      <w:r>
        <w:rPr>
          <w:b/>
          <w:bCs/>
          <w:color w:val="000000"/>
          <w:sz w:val="36"/>
          <w:szCs w:val="36"/>
        </w:rPr>
        <w:t>5804-0223</w:t>
      </w:r>
      <w:bookmarkEnd w:id="1"/>
    </w:p>
    <w:p>
      <w:pPr>
        <w:pStyle w:val="Normal"/>
        <w:tabs>
          <w:tab w:val="clear" w:pos="708"/>
          <w:tab w:val="left" w:pos="8505" w:leader="none"/>
          <w:tab w:val="left" w:pos="9923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  <w:t>независимой технической экспертизы</w:t>
      </w:r>
    </w:p>
    <w:p>
      <w:pPr>
        <w:pStyle w:val="Normal"/>
        <w:tabs>
          <w:tab w:val="clear" w:pos="708"/>
          <w:tab w:val="left" w:pos="8505" w:leader="none"/>
          <w:tab w:val="left" w:pos="9923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  <w:t>об определении стоимости причиненного ущерба</w:t>
      </w:r>
    </w:p>
    <w:p>
      <w:pPr>
        <w:pStyle w:val="Normal"/>
        <w:tabs>
          <w:tab w:val="clear" w:pos="708"/>
          <w:tab w:val="left" w:pos="9923" w:leader="none"/>
        </w:tabs>
        <w:jc w:val="center"/>
        <w:rPr>
          <w:bCs/>
          <w:sz w:val="36"/>
          <w:szCs w:val="36"/>
        </w:rPr>
      </w:pPr>
      <w:r>
        <w:rPr>
          <w:b/>
          <w:sz w:val="36"/>
          <w:szCs w:val="36"/>
        </w:rPr>
        <w:t>транспортного средства</w:t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ind w:left="1260" w:right="1260" w:hanging="0"/>
        <w:jc w:val="center"/>
        <w:rPr>
          <w:b/>
          <w:b/>
          <w:bCs/>
          <w:i/>
          <w:i/>
          <w:iCs/>
          <w:sz w:val="28"/>
        </w:rPr>
      </w:pPr>
      <w:r>
        <w:rPr>
          <w:b/>
          <w:bCs/>
          <w:i/>
          <w:iCs/>
          <w:sz w:val="28"/>
        </w:rPr>
      </w:r>
    </w:p>
    <w:p>
      <w:pPr>
        <w:pStyle w:val="Normal"/>
        <w:ind w:left="1260" w:right="1260" w:hanging="0"/>
        <w:jc w:val="center"/>
        <w:rPr>
          <w:b/>
          <w:b/>
          <w:bCs/>
          <w:i/>
          <w:i/>
          <w:iCs/>
          <w:sz w:val="28"/>
        </w:rPr>
      </w:pPr>
      <w:r>
        <w:rPr>
          <w:b/>
          <w:bCs/>
          <w:i/>
          <w:iCs/>
          <w:sz w:val="28"/>
        </w:rPr>
      </w:r>
    </w:p>
    <w:p>
      <w:pPr>
        <w:pStyle w:val="Normal"/>
        <w:ind w:left="1260" w:right="1260" w:hanging="0"/>
        <w:jc w:val="center"/>
        <w:rPr>
          <w:b/>
          <w:b/>
          <w:bCs/>
          <w:i/>
          <w:i/>
          <w:iCs/>
          <w:sz w:val="28"/>
        </w:rPr>
      </w:pPr>
      <w:r>
        <w:rPr>
          <w:b/>
          <w:bCs/>
          <w:i/>
          <w:iCs/>
          <w:sz w:val="28"/>
        </w:rPr>
      </w:r>
    </w:p>
    <w:p>
      <w:pPr>
        <w:pStyle w:val="Normal"/>
        <w:ind w:left="1260" w:right="1260" w:hanging="0"/>
        <w:jc w:val="center"/>
        <w:rPr>
          <w:b/>
          <w:b/>
          <w:bCs/>
          <w:i/>
          <w:i/>
          <w:iCs/>
          <w:sz w:val="28"/>
        </w:rPr>
      </w:pPr>
      <w:r>
        <w:rPr>
          <w:b/>
          <w:bCs/>
          <w:i/>
          <w:iCs/>
          <w:sz w:val="28"/>
        </w:rPr>
      </w:r>
    </w:p>
    <w:p>
      <w:pPr>
        <w:pStyle w:val="Normal"/>
        <w:tabs>
          <w:tab w:val="clear" w:pos="708"/>
          <w:tab w:val="left" w:pos="4536" w:leader="none"/>
        </w:tabs>
        <w:rPr/>
      </w:pPr>
      <w:r>
        <w:rPr>
          <w:b/>
        </w:rPr>
        <w:t>Марка ТС:</w:t>
      </w:r>
      <w:r>
        <w:rPr/>
        <w:t xml:space="preserve"> NISSAN Juke</w:t>
      </w:r>
    </w:p>
    <w:p>
      <w:pPr>
        <w:pStyle w:val="Normal"/>
        <w:tabs>
          <w:tab w:val="clear" w:pos="708"/>
          <w:tab w:val="left" w:pos="4536" w:leader="none"/>
        </w:tabs>
        <w:rPr/>
      </w:pPr>
      <w:r>
        <w:rPr>
          <w:b/>
        </w:rPr>
        <w:t>Рег.  номер:</w:t>
      </w:r>
      <w:r>
        <w:rPr/>
        <w:t xml:space="preserve"> </w:t>
      </w:r>
      <w:r>
        <w:rPr>
          <w:color w:val="000000"/>
        </w:rPr>
        <w:t>********</w:t>
      </w:r>
    </w:p>
    <w:p>
      <w:pPr>
        <w:pStyle w:val="Normal"/>
        <w:tabs>
          <w:tab w:val="clear" w:pos="708"/>
          <w:tab w:val="left" w:pos="2552" w:leader="none"/>
          <w:tab w:val="left" w:pos="4536" w:leader="none"/>
          <w:tab w:val="left" w:pos="11766" w:leader="none"/>
        </w:tabs>
        <w:rPr/>
      </w:pPr>
      <w:r>
        <w:rPr>
          <w:b/>
        </w:rPr>
        <w:t>Заказчик:</w:t>
      </w:r>
      <w:r>
        <w:rPr/>
        <w:t xml:space="preserve"> </w:t>
      </w:r>
      <w:r>
        <w:rPr>
          <w:color w:val="000000"/>
        </w:rPr>
        <w:t>********</w:t>
      </w:r>
    </w:p>
    <w:p>
      <w:pPr>
        <w:pStyle w:val="Normal"/>
        <w:tabs>
          <w:tab w:val="clear" w:pos="708"/>
          <w:tab w:val="left" w:pos="2552" w:leader="none"/>
          <w:tab w:val="left" w:pos="4536" w:leader="none"/>
          <w:tab w:val="left" w:pos="11766" w:leader="none"/>
        </w:tabs>
        <w:rPr/>
      </w:pPr>
      <w:r>
        <w:rPr>
          <w:b/>
        </w:rPr>
        <w:t>Дата составления заключения:</w:t>
      </w:r>
      <w:r>
        <w:rPr/>
        <w:t xml:space="preserve"> </w:t>
      </w:r>
      <w:r>
        <w:rPr>
          <w:bCs/>
        </w:rPr>
        <w:t>13 февраля 2023г.</w:t>
      </w:r>
    </w:p>
    <w:p>
      <w:pPr>
        <w:pStyle w:val="Normal"/>
        <w:rPr/>
      </w:pPr>
      <w:r>
        <w:rPr>
          <w:b/>
          <w:iCs/>
        </w:rPr>
        <w:t xml:space="preserve">                                      </w:t>
      </w:r>
    </w:p>
    <w:p>
      <w:pPr>
        <w:pStyle w:val="Normal"/>
        <w:ind w:left="1260" w:right="1260" w:hanging="0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jc w:val="center"/>
        <w:rPr>
          <w:b/>
          <w:b/>
          <w:iCs/>
          <w:szCs w:val="22"/>
        </w:rPr>
      </w:pPr>
      <w:r>
        <w:rPr>
          <w:b/>
          <w:iCs/>
          <w:szCs w:val="22"/>
        </w:rPr>
        <w:t>Москва, 2023г.</w:t>
      </w:r>
    </w:p>
    <w:p>
      <w:pPr>
        <w:pStyle w:val="Normal"/>
        <w:rPr>
          <w:b/>
          <w:b/>
          <w:i/>
          <w:i/>
        </w:rPr>
      </w:pPr>
      <w:r>
        <w:rPr>
          <w:b/>
          <w:i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  <w:t>ИСХОДНАЯ ИНФОРМАЦИЯ</w:t>
      </w:r>
    </w:p>
    <w:p>
      <w:pPr>
        <w:pStyle w:val="Normal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rFonts w:ascii="Calibri" w:hAnsi="Calibri" w:cs="Arial CYR"/>
          <w:b/>
          <w:b/>
          <w:bCs/>
          <w:u w:val="single"/>
        </w:rPr>
      </w:pPr>
      <w:r>
        <w:rPr>
          <w:rFonts w:cs="Arial CYR"/>
          <w:b/>
          <w:bCs/>
          <w:u w:val="single"/>
        </w:rPr>
        <w:t>Экспертная организация:</w:t>
      </w:r>
    </w:p>
    <w:p>
      <w:pPr>
        <w:pStyle w:val="Normal"/>
        <w:ind w:right="142" w:hanging="0"/>
        <w:jc w:val="right"/>
        <w:rPr>
          <w:bCs/>
        </w:rPr>
      </w:pPr>
      <w:r>
        <w:rPr>
          <w:bCs/>
        </w:rPr>
        <w:t>Таблица 1</w:t>
      </w:r>
    </w:p>
    <w:tbl>
      <w:tblPr>
        <w:tblW w:w="4900" w:type="pct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1e0" w:noVBand="0" w:noHBand="0" w:lastColumn="1" w:firstColumn="1" w:lastRow="1" w:firstRow="1"/>
      </w:tblPr>
      <w:tblGrid>
        <w:gridCol w:w="2333"/>
        <w:gridCol w:w="7807"/>
      </w:tblGrid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Наименование организации: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  <w:vAlign w:val="center"/>
          </w:tcPr>
          <w:p>
            <w:pPr>
              <w:pStyle w:val="Style26"/>
              <w:spacing w:lineRule="atLeast" w:line="240" w:before="0" w:after="0"/>
              <w:jc w:val="both"/>
              <w:rPr>
                <w:b/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ООО «Европейский Центр Оценки»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ОГРН: 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1127747107553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ИНН/КПП: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7709915321/772501001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Юридический адрес: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115280, г. Москва, ул. Ленинская Слобода, д.19, эт. 6/3К, комн. 3Л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Фактический адрес: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г.Москва, ул. Угрешская д.2 (Бизнес квартал «IQ-Park»), стр.53, эт.2, офис 221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E</w:t>
            </w:r>
            <w:r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  <w:lang w:val="en-US"/>
              </w:rPr>
              <w:t>mail</w:t>
            </w:r>
            <w:r>
              <w:rPr>
                <w:sz w:val="24"/>
                <w:szCs w:val="24"/>
              </w:rPr>
              <w:t>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tLeast" w:line="240"/>
              <w:rPr/>
            </w:pPr>
            <w:r>
              <w:rPr>
                <w:lang w:val="en-US"/>
              </w:rPr>
              <w:t>euro</w:t>
            </w:r>
            <w:r>
              <w:rPr/>
              <w:t>.</w:t>
            </w:r>
            <w:r>
              <w:rPr>
                <w:lang w:val="en-US"/>
              </w:rPr>
              <w:t>otsenka</w:t>
            </w:r>
            <w:r>
              <w:rPr/>
              <w:t>@</w:t>
            </w:r>
            <w:r>
              <w:rPr>
                <w:lang w:val="en-US"/>
              </w:rPr>
              <w:t>gmail</w:t>
            </w:r>
            <w:r>
              <w:rPr/>
              <w:t>.</w:t>
            </w:r>
            <w:r>
              <w:rPr>
                <w:lang w:val="en-US"/>
              </w:rPr>
              <w:t>com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Телефон: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tLeast" w:line="240"/>
              <w:rPr/>
            </w:pPr>
            <w:r>
              <w:rPr/>
              <w:t>+7 (495) 795 16 50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Расчетный счет: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tLeast" w:line="240"/>
              <w:rPr>
                <w:bCs/>
              </w:rPr>
            </w:pPr>
            <w:r>
              <w:rPr/>
              <w:t>40702810338120007911</w:t>
            </w:r>
          </w:p>
        </w:tc>
      </w:tr>
    </w:tbl>
    <w:p>
      <w:pPr>
        <w:pStyle w:val="Normal"/>
        <w:rPr>
          <w:rFonts w:cs="Arial CYR"/>
          <w:b/>
          <w:b/>
          <w:bCs/>
        </w:rPr>
      </w:pPr>
      <w:r>
        <w:rPr>
          <w:rFonts w:cs="Arial CYR"/>
          <w:b/>
          <w:bCs/>
        </w:rPr>
      </w:r>
    </w:p>
    <w:p>
      <w:pPr>
        <w:pStyle w:val="Normal"/>
        <w:jc w:val="center"/>
        <w:rPr>
          <w:b/>
          <w:b/>
          <w:bCs/>
          <w:u w:val="single"/>
        </w:rPr>
      </w:pPr>
      <w:r>
        <w:rPr>
          <w:rFonts w:cs="Arial CYR"/>
          <w:b/>
          <w:bCs/>
          <w:u w:val="single"/>
        </w:rPr>
        <w:t xml:space="preserve">Сведения </w:t>
      </w:r>
      <w:r>
        <w:rPr>
          <w:b/>
          <w:bCs/>
          <w:u w:val="single"/>
        </w:rPr>
        <w:t>о специалистах:</w:t>
      </w:r>
    </w:p>
    <w:p>
      <w:pPr>
        <w:pStyle w:val="Normal"/>
        <w:ind w:right="142" w:hanging="0"/>
        <w:jc w:val="right"/>
        <w:rPr>
          <w:bCs/>
        </w:rPr>
      </w:pPr>
      <w:r>
        <w:rPr>
          <w:bCs/>
        </w:rPr>
        <w:t>Таблица 2</w:t>
      </w:r>
    </w:p>
    <w:tbl>
      <w:tblPr>
        <w:tblW w:w="10201" w:type="dxa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3651"/>
        <w:gridCol w:w="6549"/>
      </w:tblGrid>
      <w:tr>
        <w:trPr/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</w:tcPr>
          <w:p>
            <w:pPr>
              <w:pStyle w:val="Normal"/>
              <w:jc w:val="center"/>
              <w:rPr>
                <w:b/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</w:rPr>
              <w:t>Фамилия, Имя, Отчество</w:t>
            </w:r>
          </w:p>
        </w:tc>
        <w:tc>
          <w:tcPr>
            <w:tcW w:w="6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</w:tcPr>
          <w:p>
            <w:pPr>
              <w:pStyle w:val="Normal"/>
              <w:spacing w:lineRule="atLeast" w:line="240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Григорьев Максим Алексеевич</w:t>
            </w:r>
          </w:p>
          <w:p>
            <w:pPr>
              <w:pStyle w:val="Normal"/>
              <w:jc w:val="center"/>
              <w:rPr>
                <w:b/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</w:r>
          </w:p>
        </w:tc>
      </w:tr>
      <w:tr>
        <w:trPr>
          <w:trHeight w:val="330" w:hRule="atLeast"/>
        </w:trPr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  <w:t>Номер документа, подтверждающего получение профессиональных знаний</w:t>
            </w:r>
          </w:p>
        </w:tc>
        <w:tc>
          <w:tcPr>
            <w:tcW w:w="6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76"/>
              <w:jc w:val="both"/>
              <w:rPr>
                <w:lang w:eastAsia="en-US"/>
              </w:rPr>
            </w:pPr>
            <w:r>
              <w:rPr>
                <w:lang w:eastAsia="en-US"/>
              </w:rPr>
              <w:t>Диплом о профессиональной переподготовке «Московский государственный машиностроительный университет (МАМИ)» по программе «Профессиональная переподготовка экспертов-техников» №2796 от 28 августа 2014 года.</w:t>
            </w:r>
          </w:p>
          <w:p>
            <w:pPr>
              <w:pStyle w:val="Normal"/>
              <w:jc w:val="both"/>
              <w:rPr/>
            </w:pPr>
            <w:r>
              <w:rPr>
                <w:lang w:eastAsia="en-US"/>
              </w:rPr>
              <w:t>Согласно протоколу №3 от 20.05.2016 года, Григорьев Максим Алексеевич, включен в реестр экспертов-техников при Минюсте РФ №5555</w:t>
            </w:r>
          </w:p>
        </w:tc>
      </w:tr>
      <w:tr>
        <w:trPr>
          <w:trHeight w:val="330" w:hRule="atLeast"/>
        </w:trPr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  <w:t>Стаж работы</w:t>
            </w:r>
          </w:p>
          <w:p>
            <w:pPr>
              <w:pStyle w:val="Normal"/>
              <w:rPr/>
            </w:pPr>
            <w:r>
              <w:rPr/>
            </w:r>
          </w:p>
        </w:tc>
        <w:tc>
          <w:tcPr>
            <w:tcW w:w="6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  <w:t>С 2014 года</w:t>
            </w:r>
          </w:p>
        </w:tc>
      </w:tr>
    </w:tbl>
    <w:p>
      <w:pPr>
        <w:pStyle w:val="Normal"/>
        <w:rPr/>
      </w:pPr>
      <w:r>
        <w:rPr/>
      </w:r>
    </w:p>
    <w:p>
      <w:pPr>
        <w:pStyle w:val="Style26"/>
        <w:tabs>
          <w:tab w:val="clear" w:pos="708"/>
          <w:tab w:val="left" w:pos="10065" w:leader="none"/>
        </w:tabs>
        <w:spacing w:before="120" w:after="0"/>
        <w:ind w:right="142" w:firstLine="357"/>
        <w:jc w:val="both"/>
        <w:rPr/>
      </w:pPr>
      <w:r>
        <w:rPr>
          <w:sz w:val="24"/>
          <w:szCs w:val="24"/>
        </w:rPr>
        <w:t>Составлено на основании: Договор №</w:t>
      </w:r>
      <w:r>
        <w:rPr>
          <w:bCs/>
          <w:color w:val="000000" w:themeColor="text1"/>
          <w:sz w:val="24"/>
          <w:szCs w:val="24"/>
        </w:rPr>
        <w:t>5804-0223</w:t>
      </w:r>
      <w:r>
        <w:rPr>
          <w:sz w:val="24"/>
          <w:szCs w:val="24"/>
        </w:rPr>
        <w:t xml:space="preserve"> от </w:t>
      </w:r>
      <w:r>
        <w:rPr>
          <w:color w:val="000000"/>
          <w:sz w:val="24"/>
          <w:szCs w:val="24"/>
        </w:rPr>
        <w:t>03 февраля 2023г.</w:t>
      </w:r>
      <w:r>
        <w:rPr>
          <w:sz w:val="24"/>
          <w:szCs w:val="24"/>
        </w:rPr>
        <w:t xml:space="preserve"> на оказание услуг по проведению независимой технической экспертизы транспортного средства (далее ТС). Заказчик экспертизы: </w:t>
      </w:r>
      <w:r>
        <w:rPr>
          <w:color w:val="000000"/>
          <w:sz w:val="24"/>
          <w:szCs w:val="24"/>
        </w:rPr>
        <w:t>********</w:t>
      </w:r>
      <w:r>
        <w:rPr>
          <w:bCs/>
          <w:sz w:val="24"/>
          <w:szCs w:val="24"/>
        </w:rPr>
        <w:t>.</w:t>
      </w:r>
    </w:p>
    <w:p>
      <w:pPr>
        <w:pStyle w:val="Style26"/>
        <w:spacing w:before="120" w:after="0"/>
        <w:ind w:firstLine="357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Style26"/>
        <w:spacing w:before="120" w:after="0"/>
        <w:ind w:firstLine="357"/>
        <w:jc w:val="center"/>
        <w:rPr>
          <w:b/>
          <w:b/>
          <w:bCs/>
          <w:sz w:val="24"/>
          <w:szCs w:val="24"/>
          <w:u w:val="single"/>
        </w:rPr>
      </w:pPr>
      <w:r>
        <w:rPr>
          <w:b/>
          <w:bCs/>
          <w:sz w:val="24"/>
          <w:szCs w:val="24"/>
          <w:u w:val="single"/>
        </w:rPr>
        <w:t>Нормативное, методическое и другое обеспечение, использованное при проведении экспертизы.</w:t>
      </w:r>
    </w:p>
    <w:p>
      <w:pPr>
        <w:pStyle w:val="Style26"/>
        <w:spacing w:before="120" w:after="0"/>
        <w:ind w:firstLine="357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</w:r>
    </w:p>
    <w:p>
      <w:pPr>
        <w:pStyle w:val="ConsPlus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Постановление Правительства РФ от 17 октября 2014 г. N 1065 "Об определении уполномоченных федеральных органов исполнительной власти, устанавливающих требования к экспертам техникам, в том числе требования к из профессиональной аттестации, основания ее аннулирования, а также порядок ведения государственного реестра экспертов-техников"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>
          <w:color w:val="000000"/>
        </w:rPr>
        <w:t xml:space="preserve">Методические рекомендации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 - </w:t>
      </w:r>
      <w:r>
        <w:rPr/>
        <w:t>ФБУ РФЦСЭ при Ми</w:t>
        <w:softHyphen/>
        <w:t>нюсте России, 2018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>«Методическое руководство по определению стоимости автотранспортных средств с учетом естественного износа и технического состояния» РД 37.009.015-98 восьмое издание, ООО «Прайс-Н», Москва, 2010г.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>«Приемка, ремонт и выпуск из ремонта кузовов легковых автомобилей", РД 37.009.024-92, Москва, АО «Автосельхозмаш-холдинг», 1992 г.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>Сертифицированный программный продукт для расчета стоимости восстановления ТС отечественного или импортного производства –   ПС- Комплекс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 xml:space="preserve">Сертифицированный программный продукт для расчета стоимости восстановления ТС отечественного или импортного производства – Audapad </w:t>
      </w:r>
      <w:r>
        <w:rPr>
          <w:lang w:val="en-US"/>
        </w:rPr>
        <w:t>WEB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>Материалы тематических веб-сайтов сети Интернет.</w:t>
      </w:r>
    </w:p>
    <w:p>
      <w:pPr>
        <w:pStyle w:val="Normal"/>
        <w:spacing w:before="120" w:after="0"/>
        <w:ind w:right="142" w:hanging="0"/>
        <w:jc w:val="center"/>
        <w:rPr>
          <w:u w:val="single"/>
        </w:rPr>
      </w:pPr>
      <w:r>
        <w:rPr>
          <w:u w:val="single"/>
        </w:rPr>
      </w:r>
    </w:p>
    <w:p>
      <w:pPr>
        <w:pStyle w:val="111"/>
        <w:shd w:val="clear" w:color="auto" w:fill="auto"/>
        <w:spacing w:lineRule="auto" w:line="264"/>
        <w:ind w:right="142" w:firstLine="320"/>
        <w:jc w:val="center"/>
        <w:rPr>
          <w:sz w:val="24"/>
          <w:szCs w:val="24"/>
          <w:u w:val="single"/>
        </w:rPr>
      </w:pPr>
      <w:r>
        <w:rPr>
          <w:b/>
          <w:bCs/>
          <w:sz w:val="24"/>
          <w:szCs w:val="24"/>
          <w:u w:val="single"/>
        </w:rPr>
        <w:t>Ограничения по применению исходных данных и предположения, в пределах которых проводилась экспертиза.</w:t>
      </w:r>
    </w:p>
    <w:p>
      <w:pPr>
        <w:pStyle w:val="Normal"/>
        <w:spacing w:before="120" w:after="0"/>
        <w:ind w:right="142" w:hanging="0"/>
        <w:jc w:val="both"/>
        <w:rPr>
          <w:u w:val="single"/>
        </w:rPr>
      </w:pPr>
      <w:r>
        <w:rPr>
          <w:u w:val="single"/>
        </w:rPr>
      </w:r>
    </w:p>
    <w:p>
      <w:pPr>
        <w:pStyle w:val="Normal"/>
        <w:spacing w:before="60" w:after="0"/>
        <w:ind w:left="142" w:firstLine="425"/>
        <w:jc w:val="both"/>
        <w:rPr/>
      </w:pPr>
      <w:r>
        <w:rPr/>
        <w:t>Выводы настоящего исследования достоверны при соблюдении следую</w:t>
        <w:softHyphen/>
        <w:t>щих условий:</w:t>
      </w:r>
    </w:p>
    <w:p>
      <w:pPr>
        <w:pStyle w:val="ListParagraph"/>
        <w:numPr>
          <w:ilvl w:val="0"/>
          <w:numId w:val="5"/>
        </w:numPr>
        <w:spacing w:before="60" w:after="0"/>
        <w:ind w:left="142" w:hanging="0"/>
        <w:contextualSpacing/>
        <w:jc w:val="both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Идентификационный номер КТС, содержащий информацию, необходимую для идентификации КТС, а также данные, содержащиеся в документах о КТС, являются достоверными (определение подлинности номеров и технических документов является прерогативой кри</w:t>
        <w:softHyphen/>
        <w:t>миналистической экспертизы).</w:t>
      </w:r>
    </w:p>
    <w:p>
      <w:pPr>
        <w:pStyle w:val="ListParagraph"/>
        <w:numPr>
          <w:ilvl w:val="0"/>
          <w:numId w:val="5"/>
        </w:numPr>
        <w:spacing w:before="60" w:after="0"/>
        <w:ind w:left="142" w:hanging="0"/>
        <w:contextualSpacing/>
        <w:jc w:val="both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Исходные данные о механизме происшествия и полученных поврежде</w:t>
        <w:softHyphen/>
        <w:t>ниях, отраженные в материалах, используемых в настоящем заключе</w:t>
        <w:softHyphen/>
        <w:t>нии, являются объективными.</w:t>
      </w:r>
    </w:p>
    <w:p>
      <w:pPr>
        <w:pStyle w:val="ListParagraph"/>
        <w:numPr>
          <w:ilvl w:val="0"/>
          <w:numId w:val="5"/>
        </w:numPr>
        <w:spacing w:before="60" w:after="0"/>
        <w:ind w:left="142" w:hanging="0"/>
        <w:contextualSpacing/>
        <w:jc w:val="both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Стоимость причиненного ущерба определяется в соответствии с Методическими рекомендациями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 - ФБУ РФЦСЭ при Ми</w:t>
        <w:softHyphen/>
        <w:t>нюсте России, 2018 и с поставленными, перед экспертом, вопросом.</w:t>
      </w:r>
    </w:p>
    <w:p>
      <w:pPr>
        <w:pStyle w:val="Normal"/>
        <w:spacing w:before="60" w:after="0"/>
        <w:ind w:left="142" w:hanging="0"/>
        <w:jc w:val="both"/>
        <w:rPr/>
      </w:pPr>
      <w:r>
        <w:rPr/>
        <w:t>4.   На момент происшествия КТС было комплектно, на нем отсутствовали замененные или поврежденные составные части, влияющие на результат ис</w:t>
        <w:softHyphen/>
        <w:t>следования (в предоставленных для исследования документах информация, позволяющая судить об обратном, отсутствует).</w:t>
      </w:r>
    </w:p>
    <w:p>
      <w:pPr>
        <w:pStyle w:val="Normal"/>
        <w:spacing w:before="60" w:after="0"/>
        <w:ind w:left="142" w:hanging="0"/>
        <w:jc w:val="both"/>
        <w:rPr/>
      </w:pPr>
      <w:r>
        <w:rPr/>
        <w:t xml:space="preserve">5.   </w:t>
      </w:r>
      <w:r>
        <w:rPr>
          <w:u w:val="single"/>
        </w:rPr>
        <w:t>Стоимость реального ущерба проводится на дату повреждения(оценки) (в соот</w:t>
        <w:softHyphen/>
        <w:t xml:space="preserve">ветствии с пунктом 1.4; 7.2; 9.1 Методическими рекомендациями </w:t>
      </w:r>
      <w:r>
        <w:rPr>
          <w:color w:val="000000"/>
          <w:u w:val="single"/>
        </w:rPr>
        <w:t xml:space="preserve">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 - </w:t>
      </w:r>
      <w:r>
        <w:rPr>
          <w:u w:val="single"/>
        </w:rPr>
        <w:t>ФБУ РФЦСЭ при Ми</w:t>
        <w:softHyphen/>
        <w:t>нюсте России, 2018).</w:t>
      </w:r>
    </w:p>
    <w:p>
      <w:pPr>
        <w:pStyle w:val="Normal"/>
        <w:spacing w:before="60" w:after="0"/>
        <w:ind w:left="142" w:firstLine="425"/>
        <w:jc w:val="both"/>
        <w:rPr/>
      </w:pPr>
      <w:r>
        <w:rPr/>
        <w:t>При иных условиях выводы настоящего заключения могут измениться.</w:t>
      </w:r>
    </w:p>
    <w:p>
      <w:pPr>
        <w:pStyle w:val="Normal"/>
        <w:spacing w:before="120" w:after="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before="120" w:after="0"/>
        <w:jc w:val="center"/>
        <w:rPr>
          <w:b/>
          <w:b/>
          <w:bCs/>
          <w:u w:val="single"/>
        </w:rPr>
      </w:pPr>
      <w:r>
        <w:rPr>
          <w:b/>
          <w:bCs/>
          <w:u w:val="single"/>
        </w:rPr>
        <w:t>Перечень документов, рассмотренных в процессе экспертизы:</w:t>
      </w:r>
    </w:p>
    <w:p>
      <w:pPr>
        <w:pStyle w:val="Normal"/>
        <w:spacing w:before="120" w:after="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numPr>
          <w:ilvl w:val="0"/>
          <w:numId w:val="2"/>
        </w:numPr>
        <w:spacing w:before="120" w:after="0"/>
        <w:jc w:val="both"/>
        <w:rPr/>
      </w:pPr>
      <w:r>
        <w:rPr/>
        <w:t>Свидетельство о регистрации ТС 9935 № 012495;</w:t>
      </w:r>
    </w:p>
    <w:p>
      <w:pPr>
        <w:pStyle w:val="Normal"/>
        <w:numPr>
          <w:ilvl w:val="0"/>
          <w:numId w:val="2"/>
        </w:numPr>
        <w:spacing w:before="120" w:after="0"/>
        <w:jc w:val="both"/>
        <w:rPr/>
      </w:pPr>
      <w:r>
        <w:rPr/>
        <w:t>Документ, подтверждающий факт происшествия от 19 января 2023г..</w:t>
      </w:r>
    </w:p>
    <w:p>
      <w:pPr>
        <w:pStyle w:val="Normal"/>
        <w:spacing w:lineRule="auto" w:line="360"/>
        <w:jc w:val="right"/>
        <w:rPr/>
      </w:pPr>
      <w:r>
        <w:rPr/>
      </w:r>
    </w:p>
    <w:p>
      <w:pPr>
        <w:pStyle w:val="Normal"/>
        <w:spacing w:before="120" w:after="120"/>
        <w:jc w:val="center"/>
        <w:rPr>
          <w:b/>
          <w:b/>
          <w:bCs/>
          <w:u w:val="single"/>
        </w:rPr>
      </w:pPr>
      <w:r>
        <w:rPr>
          <w:b/>
          <w:bCs/>
          <w:u w:val="single"/>
        </w:rPr>
        <w:t>Сведения об объекте экспертизы – транспортном средстве и документах, представленных для производства экспертного исследования</w:t>
      </w:r>
    </w:p>
    <w:p>
      <w:pPr>
        <w:pStyle w:val="Normal"/>
        <w:spacing w:lineRule="auto" w:line="360"/>
        <w:jc w:val="right"/>
        <w:rPr>
          <w:bCs/>
        </w:rPr>
      </w:pPr>
      <w:r>
        <w:rPr>
          <w:bCs/>
        </w:rPr>
        <w:t>Таблица 3</w:t>
      </w:r>
    </w:p>
    <w:tbl>
      <w:tblPr>
        <w:tblW w:w="10449" w:type="dxa"/>
        <w:jc w:val="left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4934"/>
        <w:gridCol w:w="5514"/>
      </w:tblGrid>
      <w:tr>
        <w:trPr>
          <w:trHeight w:val="33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bCs/>
              </w:rPr>
            </w:pPr>
            <w:r>
              <w:rPr>
                <w:bCs/>
              </w:rPr>
              <w:t>Наименование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bCs/>
                <w:color w:val="FF0000"/>
              </w:rPr>
            </w:pPr>
            <w:bookmarkStart w:id="2" w:name="_Hlk18400953"/>
            <w:r>
              <w:rPr>
                <w:lang w:val="en-US"/>
              </w:rPr>
              <w:t>NISSAN Juke</w:t>
            </w:r>
            <w:bookmarkEnd w:id="2"/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Категория транспортного средства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B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Регистрационный знак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tabs>
                <w:tab w:val="clear" w:pos="708"/>
                <w:tab w:val="left" w:pos="4536" w:leader="none"/>
              </w:tabs>
              <w:jc w:val="center"/>
              <w:rPr/>
            </w:pPr>
            <w:r>
              <w:rPr>
                <w:color w:val="000000"/>
              </w:rPr>
              <w:t>********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Идентификационный номер (VIN)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tabs>
                <w:tab w:val="clear" w:pos="708"/>
                <w:tab w:val="left" w:pos="4536" w:leader="none"/>
              </w:tabs>
              <w:jc w:val="center"/>
              <w:rPr/>
            </w:pPr>
            <w:r>
              <w:rPr>
                <w:color w:val="000000"/>
              </w:rPr>
              <w:t>********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Год выпуска (дата выпуска)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2011г. (18.04.2011г.*)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Кузов №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tabs>
                <w:tab w:val="clear" w:pos="708"/>
                <w:tab w:val="left" w:pos="4536" w:leader="none"/>
              </w:tabs>
              <w:jc w:val="center"/>
              <w:rPr/>
            </w:pPr>
            <w:r>
              <w:rPr>
                <w:color w:val="000000"/>
              </w:rPr>
              <w:t>********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Цвет кузова (кабины)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Белый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 xml:space="preserve">Мощность двигателя л.с,  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 w:themeColor="text1"/>
              </w:rPr>
            </w:pPr>
            <w:r>
              <w:rPr/>
              <w:t>117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Пробег, км.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129092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before="20" w:after="20"/>
              <w:jc w:val="both"/>
              <w:rPr/>
            </w:pPr>
            <w:r>
              <w:rPr/>
              <w:t>Дата происшествия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before="20" w:after="20"/>
              <w:jc w:val="center"/>
              <w:rPr/>
            </w:pPr>
            <w:r>
              <w:rPr/>
              <w:t>19 января 2023г.</w:t>
            </w:r>
            <w:bookmarkStart w:id="3" w:name="_GoBack"/>
            <w:bookmarkEnd w:id="3"/>
          </w:p>
        </w:tc>
      </w:tr>
    </w:tbl>
    <w:p>
      <w:pPr>
        <w:pStyle w:val="Normal"/>
        <w:spacing w:before="120" w:after="0"/>
        <w:ind w:hanging="0"/>
        <w:jc w:val="both"/>
        <w:rPr/>
      </w:pPr>
      <w:r>
        <w:rPr/>
      </w:r>
    </w:p>
    <w:p>
      <w:pPr>
        <w:pStyle w:val="Normal"/>
        <w:spacing w:before="120" w:after="0"/>
        <w:ind w:firstLine="709"/>
        <w:jc w:val="both"/>
        <w:rPr/>
      </w:pPr>
      <w:r>
        <w:rPr/>
        <w:t>Точное описание объекта исследования, сведения об иных фактических данных, рассмотренных в процессе экспертизы, представлены в Акте осмотра от 03 февраля 2023г. (Приложение №1).</w:t>
      </w:r>
    </w:p>
    <w:p>
      <w:pPr>
        <w:pStyle w:val="Normal"/>
        <w:spacing w:before="120" w:after="0"/>
        <w:ind w:firstLine="708"/>
        <w:rPr/>
      </w:pPr>
      <w:r>
        <w:rPr/>
        <w:t xml:space="preserve">Исследование провел эксперт-техник – </w:t>
      </w:r>
      <w:r>
        <w:rPr>
          <w:b/>
          <w:bCs/>
        </w:rPr>
        <w:t xml:space="preserve"> Григорьев М.А.</w:t>
      </w:r>
    </w:p>
    <w:p>
      <w:pPr>
        <w:pStyle w:val="Normal"/>
        <w:spacing w:lineRule="auto" w:line="360" w:before="120" w:after="0"/>
        <w:jc w:val="center"/>
        <w:rPr>
          <w:u w:val="single"/>
        </w:rPr>
      </w:pPr>
      <w:r>
        <w:rPr>
          <w:u w:val="single"/>
        </w:rPr>
        <w:t>НА РАЗРЕШЕНИЕ ПОСТАВЛЕНЫ СЛЕДУЮЩИЕ ВОПРОСЫ:</w:t>
      </w:r>
    </w:p>
    <w:p>
      <w:pPr>
        <w:pStyle w:val="Normal"/>
        <w:numPr>
          <w:ilvl w:val="0"/>
          <w:numId w:val="3"/>
        </w:numPr>
        <w:tabs>
          <w:tab w:val="clear" w:pos="708"/>
          <w:tab w:val="left" w:pos="360" w:leader="none"/>
        </w:tabs>
        <w:spacing w:before="120" w:after="0"/>
        <w:ind w:left="0" w:firstLine="567"/>
        <w:jc w:val="both"/>
        <w:rPr/>
      </w:pPr>
      <w:r>
        <w:rPr/>
        <w:t xml:space="preserve">Определить величину размера расходов на восстановительный ремонт транспортного средства NISSAN Juke, регистрационный знак </w:t>
      </w:r>
      <w:r>
        <w:rPr>
          <w:color w:val="000000"/>
        </w:rPr>
        <w:t>********</w:t>
      </w:r>
      <w:r>
        <w:rPr/>
        <w:t xml:space="preserve"> в соответствии с Методическим руководством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оценки. Печатается по решению научно-методического совета ФБУ РФЦСЭ при Минюсте России, Москва 2018г</w:t>
      </w:r>
    </w:p>
    <w:p>
      <w:pPr>
        <w:pStyle w:val="Normal"/>
        <w:numPr>
          <w:ilvl w:val="0"/>
          <w:numId w:val="3"/>
        </w:numPr>
        <w:tabs>
          <w:tab w:val="clear" w:pos="708"/>
          <w:tab w:val="left" w:pos="360" w:leader="none"/>
        </w:tabs>
        <w:spacing w:before="120" w:after="0"/>
        <w:ind w:left="0" w:firstLine="567"/>
        <w:jc w:val="both"/>
        <w:rPr/>
      </w:pPr>
      <w:r>
        <w:rPr/>
        <w:t xml:space="preserve">Определить величину размера рыночной стоимости и стоимости годных остатков транспортного средства NISSAN Juke, регистрационный знак </w:t>
      </w:r>
      <w:r>
        <w:rPr>
          <w:color w:val="000000"/>
        </w:rPr>
        <w:t>********</w:t>
      </w:r>
      <w:r>
        <w:rPr/>
        <w:t>, соответствии с Методическим руководством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оценки. Печатается по решению научно-методического совета ФБУ РФЦСЭ при Минюсте России, Москва 2018г</w:t>
      </w:r>
    </w:p>
    <w:p>
      <w:pPr>
        <w:pStyle w:val="Normal"/>
        <w:spacing w:before="240" w:after="0"/>
        <w:jc w:val="center"/>
        <w:rPr>
          <w:u w:val="single"/>
        </w:rPr>
      </w:pPr>
      <w:r>
        <w:rPr>
          <w:u w:val="single"/>
        </w:rPr>
        <w:t>ИССЛЕДОВАНИЕ ПО ПОСТАВЛЕННЫМ НА РАЗРЕШЕНИЕ ЭКСПЕРТИЗЫ ВОПРОСАМ</w:t>
      </w:r>
    </w:p>
    <w:p>
      <w:pPr>
        <w:pStyle w:val="Normal"/>
        <w:rPr/>
      </w:pPr>
      <w:r>
        <w:rPr/>
      </w:r>
    </w:p>
    <w:p>
      <w:pPr>
        <w:pStyle w:val="Normal"/>
        <w:jc w:val="center"/>
        <w:rPr>
          <w:u w:val="single"/>
        </w:rPr>
      </w:pPr>
      <w:r>
        <w:rPr>
          <w:u w:val="single"/>
        </w:rPr>
        <w:t>ИССЛЕДОВАНИЕ ПО ВОПРОСУ №1</w:t>
      </w:r>
    </w:p>
    <w:p>
      <w:pPr>
        <w:pStyle w:val="Normal"/>
        <w:rPr/>
      </w:pPr>
      <w:r>
        <w:rPr/>
      </w:r>
    </w:p>
    <w:p>
      <w:pPr>
        <w:pStyle w:val="111"/>
        <w:shd w:val="clear" w:color="auto" w:fill="auto"/>
        <w:tabs>
          <w:tab w:val="clear" w:pos="708"/>
          <w:tab w:val="left" w:pos="727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Целью расчета стоимости восстановительного ремонта КТС является определение наиболее вероятной суммы затрат, достаточной для восстанов</w:t>
        <w:softHyphen/>
        <w:t>ления доаварийного состояния КТС.</w:t>
      </w:r>
    </w:p>
    <w:p>
      <w:pPr>
        <w:pStyle w:val="111"/>
        <w:shd w:val="clear" w:color="auto" w:fill="auto"/>
        <w:spacing w:before="0" w:after="160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восстановительного ремонта (С</w:t>
      </w:r>
      <w:r>
        <w:rPr>
          <w:sz w:val="24"/>
          <w:szCs w:val="24"/>
          <w:vertAlign w:val="subscript"/>
        </w:rPr>
        <w:t>вр</w:t>
      </w:r>
      <w:r>
        <w:rPr>
          <w:sz w:val="24"/>
          <w:szCs w:val="24"/>
        </w:rPr>
        <w:t>) КТС определяют по форму</w:t>
        <w:softHyphen/>
        <w:t>ле:</w:t>
      </w:r>
    </w:p>
    <w:p>
      <w:pPr>
        <w:pStyle w:val="111"/>
        <w:shd w:val="clear" w:color="auto" w:fill="auto"/>
        <w:spacing w:before="0" w:after="160"/>
        <w:ind w:firstLine="320"/>
        <w:jc w:val="center"/>
        <w:rPr>
          <w:sz w:val="24"/>
          <w:szCs w:val="24"/>
        </w:rPr>
      </w:pPr>
      <w:r>
        <w:rPr/>
        <w:drawing>
          <wp:inline distT="0" distB="0" distL="0" distR="0">
            <wp:extent cx="3314700" cy="725170"/>
            <wp:effectExtent l="0" t="0" r="0" b="0"/>
            <wp:docPr id="2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72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С</w:t>
      </w:r>
      <w:r>
        <w:rPr>
          <w:sz w:val="24"/>
          <w:szCs w:val="24"/>
          <w:vertAlign w:val="subscript"/>
        </w:rPr>
        <w:t>р</w:t>
      </w:r>
      <w:r>
        <w:rPr>
          <w:sz w:val="24"/>
          <w:szCs w:val="24"/>
        </w:rPr>
        <w:t xml:space="preserve"> - стоимость ремонтных работ по восстановлению КТС,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м</w:t>
      </w:r>
      <w:r>
        <w:rPr>
          <w:sz w:val="24"/>
          <w:szCs w:val="24"/>
        </w:rPr>
        <w:t xml:space="preserve"> - стоимость необходимых для ремонта материалов,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зч</w:t>
      </w:r>
      <w:r>
        <w:rPr>
          <w:sz w:val="24"/>
          <w:szCs w:val="24"/>
        </w:rPr>
        <w:t xml:space="preserve"> - стоимость новых запасных частей,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И - коэффициент износа составной части, подлежащей замене, %.</w:t>
      </w:r>
    </w:p>
    <w:p>
      <w:pPr>
        <w:pStyle w:val="111"/>
        <w:shd w:val="clear" w:color="auto" w:fill="auto"/>
        <w:spacing w:lineRule="auto" w:line="252" w:before="0" w:after="40"/>
        <w:rPr>
          <w:sz w:val="24"/>
          <w:szCs w:val="24"/>
        </w:rPr>
      </w:pPr>
      <w:r>
        <w:rPr>
          <w:sz w:val="24"/>
          <w:szCs w:val="24"/>
        </w:rPr>
        <w:tab/>
      </w:r>
    </w:p>
    <w:p>
      <w:pPr>
        <w:pStyle w:val="111"/>
        <w:shd w:val="clear" w:color="auto" w:fill="auto"/>
        <w:spacing w:lineRule="auto" w:line="264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Определение износа запасных частей.</w:t>
      </w:r>
    </w:p>
    <w:p>
      <w:pPr>
        <w:pStyle w:val="111"/>
        <w:shd w:val="clear" w:color="auto" w:fill="auto"/>
        <w:spacing w:lineRule="auto" w:line="264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Остаточный ресурс КТС на момент происшествия влияет на выбор способа вос</w:t>
        <w:softHyphen/>
        <w:t>становления поврежденных составных частей, вид их ремонта. Применение технологий ремонта, снижающих ресурс составной части или КТС в целом по сравнению с другими способами ремонта, для КТС со сроком эксплуатации до 7 лет должно быть минимизировано.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общем случае износ характеризует изменения определенного пара</w:t>
        <w:softHyphen/>
        <w:t>метра (стоимости, эксплуатационных качеств и технических характеристик в виде посадок, зазоров, прочности, прозрачности и т. д.) или совокупности этих параметров относительно состояния, соответствующего новой состав</w:t>
        <w:softHyphen/>
        <w:t>ной части или КТС в целом. Износ, используемый для определения стоимости восстановительного ремонта, характеризует изменение стоимости составной части в зависимости от ее оставшегося ресурса.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Подлежит обязательному учету износ составных частей, нормативный ресурс которых меньше, чем ресурс КТС в целом, то есть тех составных ча</w:t>
        <w:softHyphen/>
        <w:t>стей, которые имеют постоянный нормальный износ и подлежат регулярной своевременной замене в соответствии с требованиями к эксплуатации транс</w:t>
        <w:softHyphen/>
        <w:t>портного средства.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При расчетах расходов на ремонт в целях возмещения причиненного ущерба применение в качестве запасных частей подержанных составных ча</w:t>
        <w:softHyphen/>
        <w:t>стей с вторичного рынка не допускается. Исключение может составлять вос</w:t>
        <w:softHyphen/>
        <w:t>становление составных частей на специализированных предприятиях с пред</w:t>
        <w:softHyphen/>
        <w:t>усмотренным подтверждением качества ремонта.</w:t>
      </w:r>
    </w:p>
    <w:p>
      <w:pPr>
        <w:pStyle w:val="111"/>
        <w:shd w:val="clear" w:color="auto" w:fill="auto"/>
        <w:tabs>
          <w:tab w:val="clear" w:pos="708"/>
          <w:tab w:val="left" w:pos="692" w:leader="none"/>
        </w:tabs>
        <w:spacing w:before="0" w:after="60"/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>
      <w:pPr>
        <w:pStyle w:val="111"/>
        <w:shd w:val="clear" w:color="auto" w:fill="auto"/>
        <w:tabs>
          <w:tab w:val="clear" w:pos="708"/>
          <w:tab w:val="left" w:pos="692" w:leader="none"/>
        </w:tabs>
        <w:spacing w:before="0" w:after="60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Коэффициент износа составных частей (И) КТС (кроме автобусов и грузовых автомобилей) при определении стоимости восстановительного ре</w:t>
        <w:softHyphen/>
        <w:t>монта рассчитывается по формуле:</w:t>
      </w:r>
    </w:p>
    <w:p>
      <w:pPr>
        <w:pStyle w:val="111"/>
        <w:shd w:val="clear" w:color="auto" w:fill="auto"/>
        <w:tabs>
          <w:tab w:val="clear" w:pos="708"/>
          <w:tab w:val="left" w:pos="692" w:leader="none"/>
        </w:tabs>
        <w:spacing w:before="0" w:after="60"/>
        <w:ind w:left="320" w:hanging="0"/>
        <w:jc w:val="center"/>
        <w:rPr>
          <w:sz w:val="24"/>
          <w:szCs w:val="24"/>
        </w:rPr>
      </w:pPr>
      <w:r>
        <w:rPr/>
        <w:drawing>
          <wp:inline distT="0" distB="9525" distL="0" distR="0">
            <wp:extent cx="2228850" cy="390525"/>
            <wp:effectExtent l="0" t="0" r="0" b="0"/>
            <wp:docPr id="3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66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И</w:t>
      </w:r>
      <w:r>
        <w:rPr>
          <w:sz w:val="24"/>
          <w:szCs w:val="24"/>
          <w:vertAlign w:val="subscript"/>
        </w:rPr>
        <w:t>1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- усредненный показатель износа на 1000 км пробега, %;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 - общий пробег (фактический или расчетный) за срок эксплуатации КТС, тыс. км;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И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- усредненный показатель старения за 1 год эксплуатации, %;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i/>
          <w:iCs/>
          <w:sz w:val="24"/>
          <w:szCs w:val="24"/>
        </w:rPr>
        <w:t>Д -</w:t>
      </w:r>
      <w:r>
        <w:rPr>
          <w:sz w:val="24"/>
          <w:szCs w:val="24"/>
        </w:rPr>
        <w:t xml:space="preserve"> срок эксплуатации КТС (от даты изготовления КТС до момента, на который определяется износ), лет.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Если расчету подлежит износ составных частей КТС, прошедшего капи</w:t>
        <w:softHyphen/>
        <w:t>тальный ремонт, то параметры П и Д исчисляются от даты выпуска КТС после капитального ремонта.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Значения коэффициентов И</w:t>
      </w:r>
      <w:r>
        <w:rPr>
          <w:sz w:val="24"/>
          <w:szCs w:val="24"/>
          <w:vertAlign w:val="subscript"/>
        </w:rPr>
        <w:t>1</w:t>
      </w:r>
      <w:r>
        <w:rPr>
          <w:sz w:val="24"/>
          <w:szCs w:val="24"/>
        </w:rPr>
        <w:t xml:space="preserve"> и И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для различных категорий и марок КТС приведены в приложении 2.4 к Методическим рекомендациям.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Для прицепного состава, специальных и специализированных транспорт</w:t>
        <w:softHyphen/>
        <w:t>ных средств, другой техники, для которой не представляется возможным установить фактический пробег, или режим эксплуатации предполагает дли</w:t>
        <w:softHyphen/>
        <w:t>тельную работу в стационарном режиме, или учет наработки ведется в мото</w:t>
        <w:softHyphen/>
        <w:t>часах, значение И</w:t>
      </w:r>
      <w:r>
        <w:rPr>
          <w:sz w:val="24"/>
          <w:szCs w:val="24"/>
          <w:vertAlign w:val="subscript"/>
        </w:rPr>
        <w:t>1</w:t>
      </w:r>
      <w:r>
        <w:rPr>
          <w:sz w:val="24"/>
          <w:szCs w:val="24"/>
        </w:rPr>
        <w:t xml:space="preserve"> принимается равным нулю.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Значение показателя И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для составных частей прицепов к легковым авто</w:t>
        <w:softHyphen/>
        <w:t xml:space="preserve">мобилям составляет 5 %, для составных частей прицепов и полуприцепов к грузовым автомобилям </w:t>
      </w:r>
      <w:r>
        <w:rPr>
          <w:i/>
          <w:iCs/>
          <w:sz w:val="24"/>
          <w:szCs w:val="24"/>
        </w:rPr>
        <w:t>-7%.</w:t>
      </w:r>
    </w:p>
    <w:p>
      <w:pPr>
        <w:pStyle w:val="111"/>
        <w:shd w:val="clear" w:color="auto" w:fill="auto"/>
        <w:spacing w:lineRule="auto" w:line="266" w:before="0" w:after="60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Коэффициент износа составных частей (И) автобусов и грузовых автомо</w:t>
        <w:softHyphen/>
        <w:t>билей рассчитывается по формуле:</w:t>
      </w:r>
    </w:p>
    <w:p>
      <w:pPr>
        <w:pStyle w:val="111"/>
        <w:shd w:val="clear" w:color="auto" w:fill="auto"/>
        <w:spacing w:lineRule="auto" w:line="266" w:before="0" w:after="60"/>
        <w:ind w:firstLine="320"/>
        <w:jc w:val="center"/>
        <w:rPr>
          <w:sz w:val="24"/>
          <w:szCs w:val="24"/>
        </w:rPr>
      </w:pPr>
      <w:r>
        <w:rPr/>
        <w:drawing>
          <wp:inline distT="0" distB="0" distL="0" distR="9525">
            <wp:extent cx="2066925" cy="400050"/>
            <wp:effectExtent l="0" t="0" r="0" b="0"/>
            <wp:docPr id="4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где </w:t>
      </w:r>
      <w:r>
        <w:rPr>
          <w:i/>
          <w:iCs/>
          <w:sz w:val="24"/>
          <w:szCs w:val="24"/>
        </w:rPr>
        <w:t>е -</w:t>
      </w:r>
      <w:r>
        <w:rPr>
          <w:sz w:val="24"/>
          <w:szCs w:val="24"/>
        </w:rPr>
        <w:t xml:space="preserve"> основание натурального логарифма, е ≈ 2,72;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со - функция, зависящая от срока эксплуатации и фактического пробега автобусов и грузовых автомобилей (смотри таблицу 4 приложения 2.4 к Ме</w:t>
        <w:softHyphen/>
        <w:t>тодическим рекомендациям).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Значения коэффициента износа составных частей самоходной сельско</w:t>
        <w:softHyphen/>
        <w:t>хозяйственной, лесохозяйственной, дорожно-строительной техники в зави</w:t>
        <w:softHyphen/>
        <w:t>симости от срока ее эксплуатации приведены в таблице 5 приложения 2.4 к Методическим рекомендациям.</w:t>
      </w:r>
    </w:p>
    <w:p>
      <w:pPr>
        <w:pStyle w:val="111"/>
        <w:shd w:val="clear" w:color="auto" w:fill="auto"/>
        <w:tabs>
          <w:tab w:val="clear" w:pos="708"/>
          <w:tab w:val="left" w:pos="697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Срок эксплуатации и пробег составных частей принимается равным сроку эксплуатации и пробегу КТС, если не установлено иное.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Для составных частей, которые ранее заменяли (если факт такой замены установлен), износ может быть определен отдельно. Также отдельно может быть определен износ составных частей, установленных в результате пере</w:t>
        <w:softHyphen/>
        <w:t>оборудования, тюнинга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Подтверждением факта замены составной части может быть запись в па</w:t>
        <w:softHyphen/>
        <w:t>спорте транспортного средства, оплаченный заказ-наряд авторемонтной ор</w:t>
        <w:softHyphen/>
        <w:t>ганизации, маркировка изготовителя даты выпуска составной части и т. д.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рассматриваемых случаях срок эксплуатации составных частей и пробег КТС за это время определяется от даты замены до даты, на которую произво</w:t>
        <w:softHyphen/>
        <w:t>дится исследование.</w:t>
      </w:r>
    </w:p>
    <w:p>
      <w:pPr>
        <w:pStyle w:val="111"/>
        <w:shd w:val="clear" w:color="auto" w:fill="auto"/>
        <w:tabs>
          <w:tab w:val="clear" w:pos="708"/>
          <w:tab w:val="left" w:pos="692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Значение коэффициента износа (И) может быть скорректировано экс</w:t>
        <w:softHyphen/>
        <w:t>пертом, если техническое состояние определенной составной части не соот</w:t>
        <w:softHyphen/>
        <w:t>ветствует сроку эксплуатации и пробегу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Дополнительный износ для составной части КТС может быть скорректирован как в сторону повышения, так и понижения, что отражено в приложении 2.5 к Методическим рекомендациям.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tabs>
          <w:tab w:val="clear" w:pos="708"/>
          <w:tab w:val="left" w:pos="692" w:leader="none"/>
        </w:tabs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>Предельное значение коэффициента износа ограничивается следую</w:t>
        <w:softHyphen/>
        <w:t>щими условиями:</w:t>
      </w:r>
    </w:p>
    <w:p>
      <w:pPr>
        <w:pStyle w:val="111"/>
        <w:shd w:val="clear" w:color="auto" w:fill="auto"/>
        <w:tabs>
          <w:tab w:val="clear" w:pos="708"/>
          <w:tab w:val="left" w:pos="56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для случаев, регулируемых законодательством об ОСАГО, величина ко</w:t>
        <w:softHyphen/>
        <w:t>эффициента износа не может превышать 50 % стоимости составных частей;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для случаев, не регулируемых законодательством об ОСАГО, предель</w:t>
        <w:softHyphen/>
        <w:t>ная величина коэффициента износа не может превышать 80 % стоимости составных частей. Для составных частей КТС, имеющих срок эксплуатации более 12 лет, рекомендуемое значение коэффициента износа составляет 80 %, если отсутствуют факторы снижения износа (проведенный капитальный ре</w:t>
        <w:softHyphen/>
        <w:t>монт, замена составных частей и т. д.);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в)</w:t>
        <w:tab/>
        <w:t>независимо от сферы правового регулирования, значение коэффициен</w:t>
        <w:softHyphen/>
        <w:t>та износа принимается равным нулю для составных частей, непосредственно влияющих на безопасность движения. Номенклатура таких составных частей приведена в приложении 2.6 к Методическим рекомендациям;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г)</w:t>
        <w:tab/>
        <w:t>независимо от сферы правового регулирования, значение износа при</w:t>
        <w:softHyphen/>
        <w:t>нимается равным нулю для деталей из ремонтного комплекта, замена кото</w:t>
        <w:softHyphen/>
        <w:t>рых является частью технологического процесса обслуживания или ремонта (прокладки, фильтры, уплотнители и т. п.).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д)</w:t>
        <w:tab/>
        <w:t>в случаях, не регулируемых законодательством об ОСАГО, значение из</w:t>
        <w:softHyphen/>
        <w:t>носа принимается равным нулю для составных частей КТС, срок эксплуата</w:t>
        <w:softHyphen/>
        <w:t>ции которых не превышает 5 лет.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Нулевое значение износа не применяется для КТС в целом, если:</w:t>
      </w:r>
    </w:p>
    <w:p>
      <w:pPr>
        <w:pStyle w:val="111"/>
        <w:shd w:val="clear" w:color="auto" w:fill="auto"/>
        <w:tabs>
          <w:tab w:val="clear" w:pos="708"/>
          <w:tab w:val="left" w:pos="56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КТС эксплуатировалось в интенсивном режиме. Интенсивный режим эксплуатации характеризуется более чем двукратным превышением фактиче</w:t>
        <w:softHyphen/>
        <w:t>ского пробега КТС относительно нормативного;</w:t>
      </w:r>
    </w:p>
    <w:p>
      <w:pPr>
        <w:pStyle w:val="111"/>
        <w:shd w:val="clear" w:color="auto" w:fill="auto"/>
        <w:tabs>
          <w:tab w:val="clear" w:pos="708"/>
          <w:tab w:val="left" w:pos="57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составные части остова (каркаса) и оперения кузова, кабины, рамы, ра</w:t>
        <w:softHyphen/>
        <w:t>нее восстанавливали ремонтом (за исключением случаев устранения эксплу</w:t>
        <w:softHyphen/>
        <w:t>атационных повреждений, например устранения скола ЛКП на поверхности крыла).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Если восстановлению ранее подлежали только составные части, не отно</w:t>
        <w:softHyphen/>
        <w:t>сящиеся к кузову в металле или оперению, например, только бамперы перед</w:t>
        <w:softHyphen/>
        <w:t>ний и задний, то они будут иметь ненулевое значение износа. Для остальных составных частей, значение износа будет нулевым;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в)</w:t>
        <w:tab/>
        <w:t>имеет место не устраненная деформация составной части остова (кар</w:t>
        <w:softHyphen/>
        <w:t>каса) кузова, кабины, рамы, кроме эксплуатационных повреждений панелей облицовки кузова (кабины) в виде простой деформации без нарушения ЛКП, площадью не более 0,25 дм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 xml:space="preserve"> и количеством не более одной на одну кузовную составную часть.</w:t>
      </w:r>
    </w:p>
    <w:p>
      <w:pPr>
        <w:pStyle w:val="111"/>
        <w:shd w:val="clear" w:color="auto" w:fill="auto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Наличие деформации, являющейся вторичным повреждением (например, признаком перекоса кузова), исключает нулевое значение износа независимо от ее размера;</w:t>
      </w:r>
    </w:p>
    <w:p>
      <w:pPr>
        <w:pStyle w:val="111"/>
        <w:shd w:val="clear" w:color="auto" w:fill="auto"/>
        <w:tabs>
          <w:tab w:val="clear" w:pos="708"/>
          <w:tab w:val="left" w:pos="589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г)</w:t>
        <w:tab/>
        <w:t>составные части остова (каркаса) или оперения кузова, кабины, рамы КТС на момент ДТП имели коррозионные повреждения;</w:t>
      </w:r>
    </w:p>
    <w:p>
      <w:pPr>
        <w:pStyle w:val="111"/>
        <w:shd w:val="clear" w:color="auto" w:fill="auto"/>
        <w:tabs>
          <w:tab w:val="clear" w:pos="708"/>
          <w:tab w:val="left" w:pos="613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д)</w:t>
        <w:tab/>
        <w:t>КТС эксплуатировался в режиме такси, предусматривающем оказание услуг по перевозке пассажиров и их багажа в индивидуальном порядке;</w:t>
      </w:r>
    </w:p>
    <w:p>
      <w:pPr>
        <w:pStyle w:val="111"/>
        <w:shd w:val="clear" w:color="auto" w:fill="auto"/>
        <w:tabs>
          <w:tab w:val="clear" w:pos="708"/>
          <w:tab w:val="left" w:pos="613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е)</w:t>
        <w:tab/>
        <w:t>КТС эксплуатировалось в регионе с тяжелыми климатическими услови</w:t>
        <w:softHyphen/>
        <w:t>ями, недостаточно развитой сетью дорог общего пользования.</w:t>
      </w:r>
    </w:p>
    <w:p>
      <w:pPr>
        <w:pStyle w:val="111"/>
        <w:shd w:val="clear" w:color="auto" w:fill="auto"/>
        <w:tabs>
          <w:tab w:val="clear" w:pos="708"/>
          <w:tab w:val="left" w:pos="723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В случаях, не регулируемых законодательством об ОСАГО, для состав</w:t>
        <w:softHyphen/>
        <w:t>ных частей, подлежащих периодической замене при эксплуатации КТС, износ подлежит расчету, и его нулевое значение не применяется, независимо от сро</w:t>
        <w:softHyphen/>
        <w:t>ка эксплуатации КТС.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К таким составным частям, в частности, относятся: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глушители выпускной системы;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шарниры системы управления и подвески;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щетки стеклоочистителей;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каталитические конверторы (нейтрализаторы);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лампы приборов внешнего освещения;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амортизаторы, комплекты стоек подвески (амортизатор с пружиной);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АКБ;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шины пневматические;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эластичные трубопроводы.</w:t>
      </w:r>
    </w:p>
    <w:p>
      <w:pPr>
        <w:pStyle w:val="111"/>
        <w:shd w:val="clear" w:color="auto" w:fill="auto"/>
        <w:tabs>
          <w:tab w:val="clear" w:pos="708"/>
          <w:tab w:val="left" w:pos="819" w:leader="none"/>
        </w:tabs>
        <w:spacing w:before="0" w:after="40"/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Коэффициент износа шин пневматических (И</w:t>
      </w:r>
      <w:r>
        <w:rPr>
          <w:sz w:val="24"/>
          <w:szCs w:val="24"/>
          <w:vertAlign w:val="subscript"/>
        </w:rPr>
        <w:t>ш</w:t>
      </w:r>
      <w:r>
        <w:rPr>
          <w:sz w:val="24"/>
          <w:szCs w:val="24"/>
        </w:rPr>
        <w:t>) КТС рассчитывается по следующей формуле:</w:t>
      </w:r>
    </w:p>
    <w:p>
      <w:pPr>
        <w:pStyle w:val="111"/>
        <w:shd w:val="clear" w:color="auto" w:fill="auto"/>
        <w:tabs>
          <w:tab w:val="clear" w:pos="708"/>
          <w:tab w:val="left" w:pos="819" w:leader="none"/>
        </w:tabs>
        <w:spacing w:before="0" w:after="40"/>
        <w:ind w:left="300" w:hanging="0"/>
        <w:jc w:val="center"/>
        <w:rPr>
          <w:sz w:val="24"/>
          <w:szCs w:val="24"/>
        </w:rPr>
      </w:pPr>
      <w:r>
        <w:rPr/>
        <w:drawing>
          <wp:inline distT="0" distB="0" distL="0" distR="0">
            <wp:extent cx="3105150" cy="742950"/>
            <wp:effectExtent l="0" t="0" r="0" b="0"/>
            <wp:docPr id="5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66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Н</w:t>
      </w:r>
      <w:r>
        <w:rPr>
          <w:sz w:val="24"/>
          <w:szCs w:val="24"/>
          <w:vertAlign w:val="subscript"/>
        </w:rPr>
        <w:t>н</w:t>
      </w:r>
      <w:r>
        <w:rPr>
          <w:sz w:val="24"/>
          <w:szCs w:val="24"/>
        </w:rPr>
        <w:t xml:space="preserve"> - высота рисунка протектора новой шины, мм;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Н</w:t>
      </w:r>
      <w:r>
        <w:rPr>
          <w:sz w:val="24"/>
          <w:szCs w:val="24"/>
          <w:vertAlign w:val="subscript"/>
        </w:rPr>
        <w:t>ф</w:t>
      </w:r>
      <w:r>
        <w:rPr>
          <w:sz w:val="24"/>
          <w:szCs w:val="24"/>
        </w:rPr>
        <w:t xml:space="preserve"> - фактическая высота рисунка протектора шины, мм;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Н</w:t>
      </w:r>
      <w:r>
        <w:rPr>
          <w:sz w:val="24"/>
          <w:szCs w:val="24"/>
          <w:vertAlign w:val="subscript"/>
        </w:rPr>
        <w:t>доп</w:t>
      </w:r>
      <w:r>
        <w:rPr>
          <w:sz w:val="24"/>
          <w:szCs w:val="24"/>
        </w:rPr>
        <w:t xml:space="preserve"> - минимально допустимая высота рисунка протектора шины в соот</w:t>
        <w:softHyphen/>
        <w:t>ветствии с требованиями законодательства Российской Федерации, мм.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Дополнительно износ шин увеличивается в зависимости от срока их экс</w:t>
        <w:softHyphen/>
        <w:t>плуатации: от 3 до 5 лет - на 15 %; свыше 5 лет - на 25 %.</w:t>
      </w:r>
    </w:p>
    <w:p>
      <w:pPr>
        <w:pStyle w:val="111"/>
        <w:shd w:val="clear" w:color="auto" w:fill="auto"/>
        <w:spacing w:lineRule="auto" w:line="266" w:before="0" w:after="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Пневматические шины, имеющие маркировку </w:t>
      </w:r>
      <w:r>
        <w:rPr>
          <w:sz w:val="24"/>
          <w:szCs w:val="24"/>
          <w:lang w:val="en-US" w:bidi="en-US"/>
        </w:rPr>
        <w:t>Regroovable</w:t>
      </w:r>
      <w:r>
        <w:rPr>
          <w:sz w:val="24"/>
          <w:szCs w:val="24"/>
          <w:lang w:bidi="en-US"/>
        </w:rPr>
        <w:t xml:space="preserve">, </w:t>
      </w:r>
      <w:r>
        <w:rPr>
          <w:sz w:val="24"/>
          <w:szCs w:val="24"/>
        </w:rPr>
        <w:t>рассчитаны на углубление изношенного до предельного значения рисунка протектора на 3 мм. Глубина нарезанного рисунка протектора, суммированная с остаточной высотой рисунка протектора до его углубления, образовывает суммарную вы</w:t>
        <w:softHyphen/>
        <w:t>соту углубленного рисунка протектора, учитываемую в качестве высоты ри</w:t>
        <w:softHyphen/>
        <w:t>сунка протектора новой шины в формуле.</w:t>
      </w:r>
    </w:p>
    <w:p>
      <w:pPr>
        <w:pStyle w:val="111"/>
        <w:shd w:val="clear" w:color="auto" w:fill="auto"/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Для определения коэффициента износа (И</w:t>
      </w:r>
      <w:r>
        <w:rPr>
          <w:sz w:val="24"/>
          <w:szCs w:val="24"/>
          <w:vertAlign w:val="subscript"/>
        </w:rPr>
        <w:t>ш</w:t>
      </w:r>
      <w:r>
        <w:rPr>
          <w:sz w:val="24"/>
          <w:szCs w:val="24"/>
        </w:rPr>
        <w:t>) пневматической шины, вос</w:t>
        <w:softHyphen/>
        <w:t>становленной методом наложения нового протектора с горячей вулканизаци</w:t>
        <w:softHyphen/>
        <w:t>ей, высота протектора (Н</w:t>
      </w:r>
      <w:r>
        <w:rPr>
          <w:sz w:val="24"/>
          <w:szCs w:val="24"/>
          <w:vertAlign w:val="subscript"/>
        </w:rPr>
        <w:t>н</w:t>
      </w:r>
      <w:r>
        <w:rPr>
          <w:sz w:val="24"/>
          <w:szCs w:val="24"/>
        </w:rPr>
        <w:t>) принимается равной: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для легковых автомобилей - 10 мм;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для грузовых автомобилей и автобусов - 20 мм.</w:t>
      </w:r>
    </w:p>
    <w:p>
      <w:pPr>
        <w:pStyle w:val="111"/>
        <w:shd w:val="clear" w:color="auto" w:fill="auto"/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Значение коэффициента износа (И</w:t>
      </w:r>
      <w:r>
        <w:rPr>
          <w:sz w:val="24"/>
          <w:szCs w:val="24"/>
          <w:vertAlign w:val="subscript"/>
        </w:rPr>
        <w:t>щ</w:t>
      </w:r>
      <w:r>
        <w:rPr>
          <w:sz w:val="24"/>
          <w:szCs w:val="24"/>
        </w:rPr>
        <w:t>) шин мотоциклов, мотороллеров, мо</w:t>
        <w:softHyphen/>
        <w:t>педов, от даты изготовления которых прошло более 7 лет, и шин других КТС, от даты изготовления которых прошло более 10 лет, равняется 100 % незави</w:t>
        <w:softHyphen/>
        <w:t>симо от степени их изношенности.</w:t>
      </w:r>
    </w:p>
    <w:p>
      <w:pPr>
        <w:pStyle w:val="111"/>
        <w:shd w:val="clear" w:color="auto" w:fill="auto"/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Если производителем КТС или пневматической шины в эксплуатаци</w:t>
        <w:softHyphen/>
        <w:t>онной документации определен срок эксплуатации, то при его достижении шина имеет значение коэффициента износа (И</w:t>
      </w:r>
      <w:r>
        <w:rPr>
          <w:sz w:val="24"/>
          <w:szCs w:val="24"/>
          <w:vertAlign w:val="subscript"/>
        </w:rPr>
        <w:t>ш</w:t>
      </w:r>
      <w:r>
        <w:rPr>
          <w:sz w:val="24"/>
          <w:szCs w:val="24"/>
        </w:rPr>
        <w:t>), равное 100 %, независимо от степени изношенности протектора.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lineRule="auto" w:line="259" w:before="0" w:after="40"/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Коэффициент износа аккумуляторной батареи (И</w:t>
      </w:r>
      <w:r>
        <w:rPr>
          <w:sz w:val="24"/>
          <w:szCs w:val="24"/>
          <w:vertAlign w:val="subscript"/>
        </w:rPr>
        <w:t>АКБ</w:t>
      </w:r>
      <w:r>
        <w:rPr>
          <w:sz w:val="24"/>
          <w:szCs w:val="24"/>
        </w:rPr>
        <w:t>) определяется по формуле: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lineRule="auto" w:line="259" w:before="0" w:after="40"/>
        <w:ind w:left="300" w:hanging="0"/>
        <w:jc w:val="center"/>
        <w:rPr>
          <w:sz w:val="24"/>
          <w:szCs w:val="24"/>
        </w:rPr>
      </w:pPr>
      <w:r>
        <w:rPr/>
        <w:drawing>
          <wp:inline distT="0" distB="9525" distL="0" distR="0">
            <wp:extent cx="2590800" cy="752475"/>
            <wp:effectExtent l="0" t="0" r="0" b="0"/>
            <wp:docPr id="6" name="Рисунок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8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Д</w:t>
      </w:r>
      <w:r>
        <w:rPr>
          <w:sz w:val="24"/>
          <w:szCs w:val="24"/>
          <w:vertAlign w:val="subscript"/>
        </w:rPr>
        <w:t>ФАКБ</w:t>
      </w:r>
      <w:r>
        <w:rPr>
          <w:sz w:val="24"/>
          <w:szCs w:val="24"/>
        </w:rPr>
        <w:t xml:space="preserve"> - фактический срок эксплуатации АКБ, месяцев;</w:t>
      </w:r>
    </w:p>
    <w:p>
      <w:pPr>
        <w:pStyle w:val="111"/>
        <w:shd w:val="clear" w:color="auto" w:fill="auto"/>
        <w:spacing w:lineRule="auto" w:line="314"/>
        <w:jc w:val="both"/>
        <w:rPr>
          <w:sz w:val="24"/>
          <w:szCs w:val="24"/>
        </w:rPr>
      </w:pPr>
      <w:r>
        <w:rPr>
          <w:smallCaps/>
          <w:sz w:val="24"/>
          <w:szCs w:val="24"/>
        </w:rPr>
        <w:t>Д</w:t>
      </w:r>
      <w:r>
        <w:rPr>
          <w:smallCaps/>
          <w:sz w:val="24"/>
          <w:szCs w:val="24"/>
          <w:vertAlign w:val="subscript"/>
        </w:rPr>
        <w:t>Н</w:t>
      </w:r>
      <w:r>
        <w:rPr>
          <w:smallCaps/>
          <w:sz w:val="24"/>
          <w:szCs w:val="24"/>
        </w:rPr>
        <w:t>акб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vertAlign w:val="superscript"/>
        </w:rPr>
        <w:t>_</w:t>
      </w:r>
      <w:r>
        <w:rPr>
          <w:sz w:val="24"/>
          <w:szCs w:val="24"/>
        </w:rPr>
        <w:t xml:space="preserve"> эксплуатационная норма среднего ресурса АКБ, месяцев.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Для решения задач, указанных в Методических рекомендациях, эксплуа</w:t>
        <w:softHyphen/>
        <w:t>тационные нормы среднего ресурса АКБ до ее замены принимаются равны</w:t>
        <w:softHyphen/>
        <w:t>ми: для обслуживаемых аккумуляторных свинцовых стартерных батарей - 40 месяцев; для малообслуживаемых аккумуляторных свинцовых стартерных батарей - 52 месяца; для необслуживаемых аккумуляторных свинцовых стар</w:t>
        <w:softHyphen/>
        <w:t>терных батарей - 64 месяца.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Фактический срок эксплуатации АКБ определяется от даты ее изготовле</w:t>
        <w:softHyphen/>
        <w:t>ния согласно маркировке. Если дату изготовления АКБ установить не пред</w:t>
        <w:softHyphen/>
        <w:t>ставляется возможным, то срок эксплуатации АКБ исчисляется от даты ее продажи (реализации).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Если тип АКБ, дату изготовления АКБ или дату ее продажи (реализации) установить не представляется возможным - износ принимается равным 50 %.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before="120" w:after="0"/>
        <w:ind w:firstLine="708"/>
        <w:jc w:val="both"/>
        <w:rPr/>
      </w:pPr>
      <w:r>
        <w:rPr>
          <w:b/>
          <w:bCs/>
        </w:rPr>
        <w:t xml:space="preserve">Результат расчета износа в отношении поврежденного транспортного средства NISSAN Juke, регистрационный знак </w:t>
      </w:r>
      <w:r>
        <w:rPr>
          <w:b/>
          <w:bCs/>
          <w:color w:val="000000"/>
        </w:rPr>
        <w:t>********</w:t>
      </w:r>
      <w:r>
        <w:rPr>
          <w:b/>
          <w:bCs/>
        </w:rPr>
        <w:t>: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center"/>
        <w:rPr>
          <w:b/>
          <w:b/>
          <w:bCs/>
        </w:rPr>
      </w:pPr>
      <w:r>
        <w:rPr/>
        <w:t>Вид транспорта - Легковой;</w:t>
      </w:r>
    </w:p>
    <w:p>
      <w:pPr>
        <w:pStyle w:val="Normal"/>
        <w:jc w:val="center"/>
        <w:rPr>
          <w:b/>
          <w:b/>
          <w:bCs/>
        </w:rPr>
      </w:pPr>
      <w:r>
        <w:rPr/>
        <w:t>Период времени (Д) - 11,75 (двенадцать лет);</w:t>
      </w:r>
    </w:p>
    <w:p>
      <w:pPr>
        <w:pStyle w:val="Normal"/>
        <w:jc w:val="center"/>
        <w:rPr>
          <w:b/>
          <w:b/>
          <w:bCs/>
        </w:rPr>
      </w:pPr>
      <w:r>
        <w:rPr/>
        <w:t>Общий пробег (П) - 129,092 (тыс. км.);</w:t>
      </w:r>
    </w:p>
    <w:p>
      <w:pPr>
        <w:pStyle w:val="Normal"/>
        <w:jc w:val="center"/>
        <w:rPr>
          <w:b/>
          <w:b/>
          <w:bCs/>
        </w:rPr>
      </w:pPr>
      <w:r>
        <w:rPr/>
        <w:t>Усредненный показатель износа на 1000 км пробега (И1) - 0,23%;</w:t>
      </w:r>
    </w:p>
    <w:p>
      <w:pPr>
        <w:pStyle w:val="Normal"/>
        <w:jc w:val="center"/>
        <w:rPr>
          <w:b/>
          <w:b/>
          <w:bCs/>
        </w:rPr>
      </w:pPr>
      <w:r>
        <w:rPr/>
        <w:t>Усредненный показатель старения за 1 год эксплуатации (И2) - 1,1%;</w:t>
      </w:r>
    </w:p>
    <w:p>
      <w:pPr>
        <w:pStyle w:val="Normal"/>
        <w:jc w:val="center"/>
        <w:rPr>
          <w:b/>
          <w:b/>
          <w:bCs/>
        </w:rPr>
      </w:pPr>
      <w:r>
        <w:rPr/>
        <w:t>И = И1 x П + И2 x Д = 0,23 x 129,092 + 1,1 x 11,75 = 42,6%</w:t>
      </w:r>
    </w:p>
    <w:p>
      <w:pPr>
        <w:pStyle w:val="Normal"/>
        <w:jc w:val="center"/>
        <w:rPr>
          <w:b/>
          <w:b/>
          <w:bCs/>
        </w:rPr>
      </w:pPr>
      <w:r>
        <w:rPr/>
        <w:t>Износ (И) - 42,60 %.</w:t>
      </w:r>
    </w:p>
    <w:p>
      <w:pPr>
        <w:pStyle w:val="111"/>
        <w:shd w:val="clear" w:color="auto" w:fill="auto"/>
        <w:spacing w:lineRule="auto" w:line="266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Caption"/>
        <w:keepNext w:val="true"/>
        <w:keepLines/>
        <w:suppressAutoHyphens w:val="true"/>
        <w:jc w:val="right"/>
        <w:rPr>
          <w:b w:val="false"/>
          <w:b w:val="false"/>
          <w:sz w:val="24"/>
          <w:szCs w:val="24"/>
        </w:rPr>
      </w:pPr>
      <w:r>
        <w:rPr>
          <w:b w:val="false"/>
          <w:sz w:val="24"/>
          <w:szCs w:val="24"/>
        </w:rPr>
        <w:t xml:space="preserve">Таблица </w:t>
      </w:r>
      <w:r>
        <w:rPr>
          <w:b w:val="false"/>
          <w:sz w:val="24"/>
          <w:szCs w:val="24"/>
          <w:lang w:val="ru-RU"/>
        </w:rPr>
        <w:t>4</w:t>
      </w:r>
    </w:p>
    <w:tbl>
      <w:tblPr>
        <w:tblW w:w="5000" w:type="pct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5070"/>
        <w:gridCol w:w="5277"/>
      </w:tblGrid>
      <w:tr>
        <w:trPr>
          <w:trHeight w:val="325" w:hRule="atLeast"/>
        </w:trPr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</w:tcPr>
          <w:p>
            <w:pPr>
              <w:pStyle w:val="Normal"/>
              <w:spacing w:lineRule="auto" w:line="254"/>
              <w:jc w:val="center"/>
              <w:rPr>
                <w:b/>
                <w:b/>
                <w:bCs/>
                <w:lang w:eastAsia="en-US"/>
              </w:rPr>
            </w:pPr>
            <w:r>
              <w:rPr>
                <w:b/>
                <w:bCs/>
                <w:lang w:eastAsia="en-US"/>
              </w:rPr>
              <w:t>Группы запчастей</w:t>
            </w:r>
          </w:p>
        </w:tc>
        <w:tc>
          <w:tcPr>
            <w:tcW w:w="5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</w:tcPr>
          <w:p>
            <w:pPr>
              <w:pStyle w:val="Normal"/>
              <w:spacing w:lineRule="auto" w:line="254"/>
              <w:jc w:val="center"/>
              <w:rPr>
                <w:b/>
                <w:b/>
                <w:bCs/>
                <w:lang w:eastAsia="en-US"/>
              </w:rPr>
            </w:pPr>
            <w:r>
              <w:rPr>
                <w:b/>
                <w:bCs/>
                <w:lang w:eastAsia="en-US"/>
              </w:rPr>
              <w:t>Износ</w:t>
            </w:r>
          </w:p>
        </w:tc>
      </w:tr>
      <w:tr>
        <w:trPr>
          <w:trHeight w:val="161" w:hRule="atLeast"/>
        </w:trPr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rPr>
                <w:lang w:eastAsia="en-US"/>
              </w:rPr>
            </w:pPr>
            <w:r>
              <w:rPr>
                <w:lang w:eastAsia="en-US"/>
              </w:rPr>
              <w:t>Шины</w:t>
            </w:r>
          </w:p>
        </w:tc>
        <w:tc>
          <w:tcPr>
            <w:tcW w:w="5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  <w:t>50,00</w:t>
            </w:r>
          </w:p>
        </w:tc>
      </w:tr>
      <w:tr>
        <w:trPr>
          <w:trHeight w:val="130" w:hRule="atLeast"/>
        </w:trPr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rPr>
                <w:lang w:eastAsia="en-US"/>
              </w:rPr>
            </w:pPr>
            <w:r>
              <w:rPr>
                <w:lang w:eastAsia="en-US"/>
              </w:rPr>
              <w:t>Аккумуляторная батарея</w:t>
            </w:r>
          </w:p>
        </w:tc>
        <w:tc>
          <w:tcPr>
            <w:tcW w:w="5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Расчёт не производился</w:t>
            </w:r>
          </w:p>
        </w:tc>
      </w:tr>
      <w:tr>
        <w:trPr>
          <w:trHeight w:val="223" w:hRule="atLeast"/>
        </w:trPr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rPr>
                <w:lang w:eastAsia="en-US"/>
              </w:rPr>
            </w:pPr>
            <w:r>
              <w:rPr>
                <w:lang w:eastAsia="en-US"/>
              </w:rPr>
              <w:t>Комплектующие, узлы и агрегаты</w:t>
            </w:r>
          </w:p>
        </w:tc>
        <w:tc>
          <w:tcPr>
            <w:tcW w:w="5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42,60</w:t>
            </w:r>
          </w:p>
        </w:tc>
      </w:tr>
    </w:tbl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spacing w:lineRule="auto" w:line="264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Определение стоимости запасных частей.</w:t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jc w:val="both"/>
        <w:rPr>
          <w:sz w:val="24"/>
          <w:szCs w:val="24"/>
        </w:rPr>
      </w:pPr>
      <w:bookmarkStart w:id="4" w:name="_Hlk31288543"/>
      <w:r>
        <w:rPr>
          <w:sz w:val="24"/>
          <w:szCs w:val="24"/>
        </w:rPr>
        <w:t>Замена, как технологическая операция ремонта</w:t>
      </w:r>
      <w:bookmarkEnd w:id="4"/>
      <w:r>
        <w:rPr>
          <w:sz w:val="24"/>
          <w:szCs w:val="24"/>
        </w:rPr>
        <w:t>, предусматривает установку новой составной части (запасной части, компонента) вместо заме</w:t>
        <w:softHyphen/>
        <w:t>няемой.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Замена кузовной составной части - комплекс технологических операций, обычно включающий: отсоединение и снятие старой детали, удаление остат</w:t>
        <w:softHyphen/>
        <w:t>ков металла, коррозионных повреждений, рихтовку соединительных кромок, подгонку (иногда с отрезанием) и сварку новой кузовной составной части, зачистку сварных точек и швов, выравнивание поверхностей наполнителями и шлифовку дефектных мест.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Количество и перечень составных частей, подлежащих замене при вос</w:t>
        <w:softHyphen/>
        <w:t>становительном ремонте КТС, определяется по результатам его осмотра с учетом норм, правил и процедур ремонта КТС, установленных его изготови</w:t>
        <w:softHyphen/>
        <w:t>телем, принципов технической возможности и экономической целесообраз</w:t>
        <w:softHyphen/>
        <w:t>ности ремонта. Если такие нормы, процедуры и правила изготовителем КТС не установлены, используются нормы, процедуры и правила, установленные Единой методикой для случаев, регулируемых законодательством об ОСАГО и настоящими Методическими рекомендациями для всех остальных случаев, требующих расчета стоимости восстановительного ремонта и размера при</w:t>
        <w:softHyphen/>
        <w:t>чиненного ущерба.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>Среди новых запасных частей (компонентов), в зависимости от их производителя, поставщика следует выделить следующие: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оригинальные запасные части и запасные части, поставляемые официаль</w:t>
        <w:softHyphen/>
        <w:t>ными поставщиками изготовителя КТС (шасси);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составные части соответствующего качества (неоригинальные запасные части, производители которых могут удостоверить их качество);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firstLine="3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остальные запасные части (неоригинальные запасные части, необходимые качества которых не доказаны или отсутствуют сертификаты соответствия). </w:t>
      </w:r>
    </w:p>
    <w:p>
      <w:pPr>
        <w:pStyle w:val="111"/>
        <w:shd w:val="clear" w:color="auto" w:fill="auto"/>
        <w:tabs>
          <w:tab w:val="clear" w:pos="708"/>
          <w:tab w:val="left" w:pos="142" w:leader="none"/>
        </w:tabs>
        <w:ind w:hanging="142"/>
        <w:jc w:val="both"/>
        <w:rPr>
          <w:sz w:val="24"/>
          <w:szCs w:val="24"/>
        </w:rPr>
      </w:pPr>
      <w:r>
        <w:rPr>
          <w:sz w:val="24"/>
          <w:szCs w:val="24"/>
        </w:rPr>
        <w:tab/>
        <w:tab/>
        <w:t xml:space="preserve">   К оригинальным запасным частям относят запасные части, поставляемые на сборочное производство КТС и поставляемые изготовителем КТС уполно</w:t>
        <w:softHyphen/>
        <w:t>моченным им субъектам предпринимательской деятельности или авторизо</w:t>
        <w:softHyphen/>
        <w:t>ванным исполнителям ремонта. Источником ценовой информации таких за</w:t>
        <w:softHyphen/>
        <w:t>пасных частей являются данные авторизованного исполнителя ремонта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 запасным частям, поставляемым официальными поставщиками изгото</w:t>
        <w:softHyphen/>
        <w:t>вителя КТС (шасси) относят:</w:t>
      </w:r>
    </w:p>
    <w:p>
      <w:pPr>
        <w:pStyle w:val="111"/>
        <w:shd w:val="clear" w:color="auto" w:fill="auto"/>
        <w:tabs>
          <w:tab w:val="clear" w:pos="708"/>
          <w:tab w:val="left" w:pos="567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запасные части, которые поставляет производитель составных частей изготовителю КТС или продает, в частности, своим дистрибьюторам. Источ</w:t>
        <w:softHyphen/>
        <w:t>ником ценовой информации таких запасных частей являются данные офи</w:t>
        <w:softHyphen/>
        <w:t>циального представителя производителя этих составных частей, а в случае его отсутствия - среднерыночная цена продавцов этих составных частей из прайс-листов или Интернет-ресурсов;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неоригинальные запасные части, однако изготавливаемые согласно техническим условиям и производственным стандартам изготовителя КТС, являющиеся официальными заменителями оригинальных составных частей. Источником ценовой информации таких запасных частей являются данные официального представителя производителя этих составных частей, а в слу</w:t>
        <w:softHyphen/>
        <w:t>чае его отсутствия - среднерыночная цена продавцов этих составных частей из прайс-листов или Интернет-ресурсов.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Запасные части должны удовлетворять критериям сертификации компо</w:t>
        <w:softHyphen/>
        <w:t>нентов в соответствии с пунктом 97 главы 5 раздела V Технического регла</w:t>
        <w:softHyphen/>
        <w:t>мента Таможенного союза «О безопасности колесных транспортных средств».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Оригинальные запасные части имеют обозначение типа изделия, которое определил изготовитель КТС (номер в соответствии с конструкторской до</w:t>
        <w:softHyphen/>
        <w:t>кументацией, каталожный номер и т.п.).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смете восстановительного ремонта эксперт должен указать уникальный номер составной части, присвоенный изготовителем КТС.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ab/>
        <w:t>Для максимального обеспечения качества ремонта при определении стоимости восстановительного ремонта КТС и размера ущерба вне рамок законодательства об ОСАГО применяют ценовые данные на оригинальные запасные части, которые поставляются изготовителем КТС авторизованным ремонтникам в регионе.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При наличии в регионе нескольких авторизованных исполнителей ремон</w:t>
        <w:softHyphen/>
        <w:t>та определенной марки КТС применяют меньшее ценовое значение ориги</w:t>
        <w:softHyphen/>
        <w:t>нальной запасной части.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случае документального подтверждения восстановления КТС или его со</w:t>
        <w:softHyphen/>
        <w:t xml:space="preserve">ставной части </w:t>
      </w:r>
      <w:r>
        <w:rPr>
          <w:i/>
          <w:iCs/>
          <w:sz w:val="24"/>
          <w:szCs w:val="24"/>
        </w:rPr>
        <w:t>у</w:t>
      </w:r>
      <w:r>
        <w:rPr>
          <w:sz w:val="24"/>
          <w:szCs w:val="24"/>
        </w:rPr>
        <w:t xml:space="preserve"> авторизованного исполнителя ремонта определенной модели КТС применяют цены на оригинальные запасные части на этом предприятии.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При отсутствии авторизованного исполнителя ремонта для исследуемого КТС в регионе следует использовать ценовые данные запасных частей, по</w:t>
        <w:softHyphen/>
        <w:t>ставляемых официальными поставщиками изготовителя КТС (шасси). При этом используют цены на запасные части, поставляемые под срочный заказ (кратчайший срок).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При отсутствии ценовых данных на оригинальные запасные части в ре</w:t>
        <w:softHyphen/>
        <w:t>гионе последовательно учитывают ценовые источники данных в ближайших регионах, в РФ в целом.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Также используют метод пропорции между ценовыми значениями раз</w:t>
        <w:softHyphen/>
        <w:t>личных запасных частей одной группы составных частей по зарубежным источникам информации и по ценовым данным на соответствующие ориги</w:t>
        <w:softHyphen/>
        <w:t>нальные запасные части в регионе.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случае невозможности получения ценовых данных запасных частей по приведенным выше алгоритмам допускается применение стоимостных дан</w:t>
        <w:softHyphen/>
        <w:t>ных запасных частей аналогичных КТС. Подбор аналога осуществляется в со</w:t>
        <w:softHyphen/>
        <w:t>ответствии с требованиями пункта 5.13 части 1 Методических рекомендаций. При таких обстоятельствах допускается использовать данные аналогов и для определения нормативов трудоемкости ремонта.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При определении стоимости запасных частей учитывают наличие ремонт</w:t>
        <w:softHyphen/>
        <w:t>ного комплекта для полного устранения повреждения, поставляемого вместе с заменяемой составной частью (в случаях, предусмотренных технологиче</w:t>
        <w:softHyphen/>
        <w:t>ской документацией).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>Применение оригинальных запасных частей, поставляемых изгото</w:t>
        <w:softHyphen/>
        <w:t>вителем КТС авторизованным ремонтникам в регионе, может быть ограниче</w:t>
        <w:softHyphen/>
        <w:t>но в следующих случаях: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если замене подлежат неоригинальные составные части, необходимо использовать запчасти соответствующего качества;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для КТС со сроком эксплуатации, превышающим граничный, возможно применение узлов и агрегатов предусмотренного изготовителем обменного фонда запасных частей. Такие составные части должны быть восстановлены на специализированных предприятиях и поставляться в сеть авторизован</w:t>
        <w:softHyphen/>
        <w:t>ных исполнителей. Как правило, такие составные части имеют в каталожном номере литеру «X». Установка реставрированных запасных частей, как прави</w:t>
        <w:softHyphen/>
        <w:t>ло, требует соблюдения дополнительных условий (например, обмена повреж</w:t>
        <w:softHyphen/>
        <w:t>денной составной части на восстановленную);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в)</w:t>
        <w:tab/>
        <w:t>для КТС со сроком эксплуатации, превышающим граничный, допуска</w:t>
        <w:softHyphen/>
        <w:t>ется использование отбракованных составных частей кузова для изготовле</w:t>
        <w:softHyphen/>
        <w:t>ния ремонтных вставок в случаях, предусмотренных изготовителем КТС;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г)</w:t>
        <w:tab/>
        <w:t>для КТС с граничным сроком эксплуатации допускается применение в ка</w:t>
        <w:softHyphen/>
        <w:t>честве конкурирующих запасных частей - запасных частей соответствующего качества. К конкурирующим относят детали и узлы, серийное производство ко</w:t>
        <w:softHyphen/>
        <w:t>торых может быть налажено на любом специализированном предприятии; про</w:t>
        <w:softHyphen/>
        <w:t>кладки, шланги, детали сцепления и тормозов, амортизаторы, вентиляторные ремни, диски колес, некоторые детали двигателей, топливной и гидравлической аппаратуры, глушители. Особо конкурирующими считают запасные части стан</w:t>
        <w:softHyphen/>
        <w:t>дартизированного ассортимента, аналоги которых поставляются на рынки мно</w:t>
        <w:softHyphen/>
        <w:t>гочисленными производителями. В эту категорию входят такие детали, как свечи зажигания, фильтрующие элементы, стандартные подшипники и т. п.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Если составная часть, подлежащая замене, уже имела не устраненные повреждения до рассматриваемого события происшествия, то эти предыду</w:t>
        <w:softHyphen/>
        <w:t>щие повреждения должны быть учтены.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Их учет осуществляется либо применением дополнительного износа заменя</w:t>
        <w:softHyphen/>
        <w:t>емой составной части с учетом данных таблицы 2 приложения 2.5 «Определение дополнительного износа составной части КТС» к Методическим рекомендаци</w:t>
        <w:softHyphen/>
        <w:t>ям, либо путем следующего расчета. От совокупных затрат на замену составной части (стоимости составной части и работ на ее замену) вычитают затраты на ее ремонт вследствие повреждений, которые были до рассматриваемого события.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Полученное отрицательное значение свидетельствует о необходимости за</w:t>
        <w:softHyphen/>
        <w:t>мены составной части вследствие предыдущего повреждения. В этом случае при определении стоимости восстановительного ремонта и размера ущерба от рассматриваемого события стоимость таких составных частей в расчетах не учитывается, а учитывается только их демонтаж-монтаж при ремонте, если это необходимо.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 случае необходимости определения стоимости запасной части (С</w:t>
      </w:r>
      <w:r>
        <w:rPr>
          <w:sz w:val="24"/>
          <w:szCs w:val="24"/>
          <w:vertAlign w:val="subscript"/>
        </w:rPr>
        <w:t>ЗЧ1</w:t>
      </w:r>
      <w:r>
        <w:rPr>
          <w:sz w:val="24"/>
          <w:szCs w:val="24"/>
        </w:rPr>
        <w:t>) на прошедшую дату допускается использовать индексы инфляции, что учтено в формуле: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left="300" w:hanging="0"/>
        <w:jc w:val="both"/>
        <w:rPr>
          <w:sz w:val="24"/>
          <w:szCs w:val="24"/>
        </w:rPr>
      </w:pPr>
      <w:r>
        <w:rPr/>
        <w:drawing>
          <wp:inline distT="0" distB="9525" distL="0" distR="0">
            <wp:extent cx="4972050" cy="904875"/>
            <wp:effectExtent l="0" t="0" r="0" b="0"/>
            <wp:docPr id="7" name="Рисунок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9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exact" w:line="1"/>
        <w:rPr/>
      </w:pPr>
      <w:r>
        <w:rPr/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С</w:t>
      </w:r>
      <w:r>
        <w:rPr>
          <w:sz w:val="24"/>
          <w:szCs w:val="24"/>
          <w:vertAlign w:val="subscript"/>
        </w:rPr>
        <w:t>ЗЧа</w:t>
      </w:r>
      <w:r>
        <w:rPr>
          <w:sz w:val="24"/>
          <w:szCs w:val="24"/>
        </w:rPr>
        <w:t xml:space="preserve"> - стоимость составной части на определенную (актуальную) дату ис</w:t>
        <w:softHyphen/>
        <w:t>следования,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J</w:t>
      </w:r>
      <w:r>
        <w:rPr>
          <w:sz w:val="24"/>
          <w:szCs w:val="24"/>
          <w:lang w:bidi="en-US"/>
        </w:rPr>
        <w:t xml:space="preserve">,; </w:t>
      </w:r>
      <w:r>
        <w:rPr>
          <w:sz w:val="24"/>
          <w:szCs w:val="24"/>
          <w:lang w:val="en-US" w:bidi="en-US"/>
        </w:rPr>
        <w:t>J</w:t>
      </w:r>
      <w:r>
        <w:rPr>
          <w:sz w:val="24"/>
          <w:szCs w:val="24"/>
          <w:lang w:bidi="en-US"/>
        </w:rPr>
        <w:t xml:space="preserve">,. </w:t>
      </w:r>
      <w:r>
        <w:rPr>
          <w:sz w:val="24"/>
          <w:szCs w:val="24"/>
        </w:rPr>
        <w:t>- индексы инфляции за первый и последующие месяцы от даты оцен</w:t>
        <w:softHyphen/>
        <w:t>ки до актуальной даты, % (относительно 100 % как базы отсчета).</w:t>
      </w:r>
    </w:p>
    <w:p>
      <w:pPr>
        <w:pStyle w:val="111"/>
        <w:shd w:val="clear" w:color="auto" w:fill="auto"/>
        <w:spacing w:before="0" w:after="40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случае, если изменение стоимости детали в рублевом эквиваленте в тече</w:t>
        <w:softHyphen/>
        <w:t>ние непродолжительного периода в основном обусловлено изменением курса валюты (евро, доллар и др.), корректировка может быть произведена экспер</w:t>
        <w:softHyphen/>
        <w:t>том с учетом разности курса валюты на дату исследования и дату определения стоимости по следующей формуле:</w:t>
      </w:r>
    </w:p>
    <w:p>
      <w:pPr>
        <w:pStyle w:val="111"/>
        <w:shd w:val="clear" w:color="auto" w:fill="auto"/>
        <w:spacing w:before="0" w:after="40"/>
        <w:ind w:firstLine="320"/>
        <w:jc w:val="center"/>
        <w:rPr>
          <w:sz w:val="24"/>
          <w:szCs w:val="24"/>
        </w:rPr>
      </w:pPr>
      <w:r>
        <w:rPr/>
        <w:drawing>
          <wp:inline distT="0" distB="0" distL="0" distR="0">
            <wp:extent cx="3450590" cy="828040"/>
            <wp:effectExtent l="0" t="0" r="0" b="0"/>
            <wp:docPr id="8" name="Рисунок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10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590" cy="82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К</w:t>
      </w:r>
      <w:r>
        <w:rPr>
          <w:sz w:val="24"/>
          <w:szCs w:val="24"/>
          <w:vertAlign w:val="subscript"/>
        </w:rPr>
        <w:t>руБ рЕТр</w:t>
      </w:r>
      <w:r>
        <w:rPr>
          <w:sz w:val="24"/>
          <w:szCs w:val="24"/>
        </w:rPr>
        <w:t xml:space="preserve"> - курс валюты (евро, доллар и др.) на дату проведения расчетов;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</w:t>
      </w:r>
      <w:r>
        <w:rPr>
          <w:sz w:val="24"/>
          <w:szCs w:val="24"/>
          <w:vertAlign w:val="subscript"/>
        </w:rPr>
        <w:t>руБ</w:t>
      </w:r>
      <w:r>
        <w:rPr>
          <w:sz w:val="24"/>
          <w:szCs w:val="24"/>
        </w:rPr>
        <w:t xml:space="preserve"> - курс валюты (евро, доллар и др.) на дату проведения эксперти</w:t>
        <w:softHyphen/>
        <w:t>зы или исследования.</w:t>
      </w:r>
    </w:p>
    <w:p>
      <w:pPr>
        <w:pStyle w:val="111"/>
        <w:shd w:val="clear" w:color="auto" w:fill="auto"/>
        <w:tabs>
          <w:tab w:val="clear" w:pos="708"/>
          <w:tab w:val="left" w:pos="802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>
      <w:pPr>
        <w:pStyle w:val="Normal"/>
        <w:spacing w:before="120" w:after="0"/>
        <w:ind w:firstLine="708"/>
        <w:jc w:val="both"/>
        <w:rPr/>
      </w:pPr>
      <w:r>
        <w:rPr>
          <w:b/>
          <w:bCs/>
        </w:rPr>
        <w:t>В соответ</w:t>
        <w:softHyphen/>
        <w:t xml:space="preserve">ствии с п. 7.14 Методических рекомендаций применяются оригинальные запасные части, которые поставляются изготовителем КТС авторизованным ремонтникам в регионе. В соответствии с поставленным, перед экспертом, вопросом стоимость запасных частей в отношении поврежденного транспортного средства NISSAN Juke, регистрационный знак </w:t>
      </w:r>
      <w:r>
        <w:rPr>
          <w:b/>
          <w:bCs/>
          <w:color w:val="000000" w:themeColor="text1"/>
        </w:rPr>
        <w:t>Р182ХК799</w:t>
      </w:r>
      <w:r>
        <w:rPr>
          <w:b/>
          <w:bCs/>
        </w:rPr>
        <w:t xml:space="preserve"> принята по интернет-источнику </w:t>
      </w:r>
      <w:hyperlink r:id="rId10">
        <w:r>
          <w:rPr>
            <w:rStyle w:val="Style11"/>
            <w:b/>
            <w:bCs/>
            <w:lang w:val="en-US"/>
          </w:rPr>
          <w:t>www</w:t>
        </w:r>
        <w:r>
          <w:rPr>
            <w:rStyle w:val="Style11"/>
            <w:b/>
            <w:bCs/>
          </w:rPr>
          <w:t>.</w:t>
        </w:r>
        <w:r>
          <w:rPr>
            <w:rStyle w:val="Style11"/>
            <w:b/>
            <w:bCs/>
            <w:lang w:val="en-US"/>
          </w:rPr>
          <w:t>emex</w:t>
        </w:r>
        <w:r>
          <w:rPr>
            <w:rStyle w:val="Style11"/>
            <w:b/>
            <w:bCs/>
          </w:rPr>
          <w:t>.</w:t>
        </w:r>
        <w:r>
          <w:rPr>
            <w:rStyle w:val="Style11"/>
            <w:b/>
            <w:bCs/>
            <w:lang w:val="en-US"/>
          </w:rPr>
          <w:t>ru</w:t>
        </w:r>
      </w:hyperlink>
      <w:r>
        <w:rPr>
          <w:b/>
          <w:bCs/>
        </w:rPr>
        <w:t xml:space="preserve"> выборка запасных частей указана ниже:</w:t>
      </w:r>
    </w:p>
    <w:p>
      <w:pPr>
        <w:pStyle w:val="111"/>
        <w:shd w:val="clear" w:color="auto" w:fill="auto"/>
        <w:tabs>
          <w:tab w:val="clear" w:pos="708"/>
          <w:tab w:val="left" w:pos="802" w:leader="none"/>
        </w:tabs>
        <w:ind w:left="320" w:hanging="320"/>
        <w:jc w:val="both"/>
        <w:rPr>
          <w:sz w:val="24"/>
          <w:szCs w:val="24"/>
        </w:rPr>
      </w:pPr>
      <w:r>
        <w:rPr/>
        <mc:AlternateContent>
          <mc:Choice Requires="wps">
            <w:drawing>
              <wp:inline distT="0" distB="0" distL="0" distR="0">
                <wp:extent cx="6558280" cy="7080885"/>
                <wp:effectExtent l="0" t="0" r="0" b="0"/>
                <wp:docPr id="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descr="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6557760" cy="70801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shapetype_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stroked="f" style="position:absolute;margin-left:0pt;margin-top:-557.55pt;width:516.3pt;height:557.45pt;mso-position-vertical:top" type="shapetype_75">
                <v:imagedata r:id="rId11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111"/>
        <w:shd w:val="clear" w:color="auto" w:fill="auto"/>
        <w:tabs>
          <w:tab w:val="clear" w:pos="708"/>
          <w:tab w:val="left" w:pos="802" w:leader="none"/>
        </w:tabs>
        <w:ind w:left="320" w:hanging="320"/>
        <w:jc w:val="both"/>
        <w:rPr>
          <w:sz w:val="24"/>
          <w:szCs w:val="24"/>
        </w:rPr>
      </w:pPr>
      <w:r>
        <w:rPr/>
        <mc:AlternateContent>
          <mc:Choice Requires="wps">
            <w:drawing>
              <wp:inline distT="0" distB="0" distL="0" distR="0">
                <wp:extent cx="6570980" cy="6570980"/>
                <wp:effectExtent l="0" t="0" r="0" b="0"/>
                <wp:docPr id="1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 descr="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6570360" cy="65703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517.4pt;width:517.3pt;height:517.3pt;mso-position-vertical:top" type="shapetype_75">
                <v:imagedata r:id="rId12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111"/>
        <w:shd w:val="clear" w:color="auto" w:fill="auto"/>
        <w:tabs>
          <w:tab w:val="clear" w:pos="708"/>
          <w:tab w:val="left" w:pos="802" w:leader="none"/>
        </w:tabs>
        <w:ind w:left="320" w:hanging="320"/>
        <w:jc w:val="both"/>
        <w:rPr>
          <w:sz w:val="24"/>
          <w:szCs w:val="24"/>
        </w:rPr>
      </w:pPr>
      <w:r>
        <w:rPr/>
        <mc:AlternateContent>
          <mc:Choice Requires="wps">
            <w:drawing>
              <wp:inline distT="0" distB="0" distL="0" distR="0">
                <wp:extent cx="6558280" cy="7028180"/>
                <wp:effectExtent l="0" t="0" r="0" b="0"/>
                <wp:docPr id="1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" descr=""/>
                        <pic:cNvPicPr/>
                      </pic:nvPicPr>
                      <pic:blipFill>
                        <a:blip r:embed="rId13"/>
                        <a:stretch/>
                      </pic:blipFill>
                      <pic:spPr>
                        <a:xfrm>
                          <a:off x="0" y="0"/>
                          <a:ext cx="6557760" cy="70275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553.4pt;width:516.3pt;height:553.3pt;mso-position-vertical:top" type="shapetype_75">
                <v:imagedata r:id="rId13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111"/>
        <w:shd w:val="clear" w:color="auto" w:fill="auto"/>
        <w:tabs>
          <w:tab w:val="clear" w:pos="708"/>
          <w:tab w:val="left" w:pos="802" w:leader="none"/>
        </w:tabs>
        <w:ind w:left="320" w:hanging="320"/>
        <w:jc w:val="both"/>
        <w:rPr>
          <w:sz w:val="24"/>
          <w:szCs w:val="24"/>
        </w:rPr>
      </w:pPr>
      <w:r>
        <w:rPr/>
        <mc:AlternateContent>
          <mc:Choice Requires="wps">
            <w:drawing>
              <wp:inline distT="0" distB="0" distL="0" distR="0">
                <wp:extent cx="6570980" cy="3553460"/>
                <wp:effectExtent l="0" t="0" r="0" b="0"/>
                <wp:docPr id="1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" descr="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>
                          <a:off x="0" y="0"/>
                          <a:ext cx="6570360" cy="35528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79.8pt;width:517.3pt;height:279.7pt;mso-position-vertical:top" type="shapetype_75">
                <v:imagedata r:id="rId14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111"/>
        <w:shd w:val="clear" w:color="auto" w:fill="auto"/>
        <w:tabs>
          <w:tab w:val="clear" w:pos="708"/>
          <w:tab w:val="left" w:pos="802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tabs>
          <w:tab w:val="clear" w:pos="708"/>
          <w:tab w:val="left" w:pos="802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spacing w:lineRule="auto" w:line="264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Определение стоимости расходных материалов.</w:t>
      </w:r>
    </w:p>
    <w:p>
      <w:pPr>
        <w:pStyle w:val="111"/>
        <w:shd w:val="clear" w:color="auto" w:fill="auto"/>
        <w:tabs>
          <w:tab w:val="clear" w:pos="708"/>
          <w:tab w:val="left" w:pos="802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Расчет стоимости необходимых для ремонта материалов включает в себя определение затрат на используемые при ремонте основные и вспомога</w:t>
        <w:softHyphen/>
        <w:t>тельные лакокрасочные материалы; материалы для противошумной и анти</w:t>
        <w:softHyphen/>
        <w:t>коррозионной обработки; материалы для изготовления ремонтных вставок, усилителей; масло, хладагенты, тормозные, охлаждающие и другие рабочие жидкости, обеспечивающие функционирование заменяемых или ремонтиру</w:t>
        <w:softHyphen/>
        <w:t>емых узлов и агрегатов; крепежные материалы.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ЛКМ представляет собой стоимость затраченных при окраске КТС или их составных частей основных и вспомогательных матери</w:t>
        <w:softHyphen/>
        <w:t>алов.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 основным материалам относится материал, масса которого входит в массу основного изделия (краска, лаки, шпатлевка, грунт и т. д.). Вспомога</w:t>
        <w:softHyphen/>
        <w:t>тельные материалы при окраске - соответственно, материал, масса которого не входит в массу основного изделия (смывки, растворители, укрывочный ма</w:t>
        <w:softHyphen/>
        <w:t>териал и т. д.).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Затраты на ЛКМ должны учитывать особенности составной части: метал</w:t>
        <w:softHyphen/>
        <w:t>лическая или пластмассовая, новая или подвергавшаяся ремонту (с учетом площади этого ремонта).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ЛКМ, используемых при восстановительном ремонте, может быть определена одним из следующих способов:</w:t>
      </w:r>
    </w:p>
    <w:p>
      <w:pPr>
        <w:pStyle w:val="111"/>
        <w:shd w:val="clear" w:color="auto" w:fill="auto"/>
        <w:ind w:hanging="300"/>
        <w:jc w:val="both"/>
        <w:rPr>
          <w:sz w:val="24"/>
          <w:szCs w:val="24"/>
        </w:rPr>
      </w:pPr>
      <w:r>
        <w:rPr>
          <w:sz w:val="24"/>
          <w:szCs w:val="24"/>
        </w:rPr>
        <w:t>- по нормам расхода материалов на единицу площади окрашиваемой по</w:t>
        <w:softHyphen/>
        <w:t>верхности, основанным на данных производителя лакокрасочных матери</w:t>
        <w:softHyphen/>
        <w:t>алов и площади окрашиваемой поверхности. Стоимость затрат на ЛКМ определяется произведением нормы расхода материалов в денежной фор</w:t>
        <w:softHyphen/>
        <w:t>ме на единицу окрашиваемой поверхности и площади окрашиваемой по</w:t>
        <w:softHyphen/>
        <w:t>верхности (составной части);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hanging="300"/>
        <w:jc w:val="both"/>
        <w:rPr>
          <w:sz w:val="24"/>
          <w:szCs w:val="24"/>
        </w:rPr>
      </w:pPr>
      <w:r>
        <w:rPr>
          <w:sz w:val="24"/>
          <w:szCs w:val="24"/>
        </w:rPr>
        <w:t>по процентному соотношению стоимости материалов, необходимых для окраски и обработки КТС (его составных частей) к стоимости соответ</w:t>
        <w:softHyphen/>
        <w:t>ствующих работ по окраске;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hanging="300"/>
        <w:jc w:val="both"/>
        <w:rPr>
          <w:sz w:val="24"/>
          <w:szCs w:val="24"/>
        </w:rPr>
      </w:pPr>
      <w:r>
        <w:rPr>
          <w:sz w:val="24"/>
          <w:szCs w:val="24"/>
        </w:rPr>
        <w:t>при невозможности расчета стоимости ЛКМ способами, указанными выше, допускается определение затрат ЛКМ (как правило, вместе с окра</w:t>
        <w:softHyphen/>
        <w:t>сочными работами) в денежной форме на одну кузовную составную часть.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Расчет нормы расхода материалов в денежной форме на единицу пло</w:t>
        <w:softHyphen/>
        <w:t>щади окрашиваемой поверхности (удельная норма затрат ЛКМ на единицу окрашиваемой площади) производится по следующему алгоритму: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выбирается КТС с известной площадью наружной поверхности;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выбирается система наружной окраски КТС;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hanging="300"/>
        <w:jc w:val="both"/>
        <w:rPr>
          <w:sz w:val="24"/>
          <w:szCs w:val="24"/>
        </w:rPr>
      </w:pPr>
      <w:r>
        <w:rPr>
          <w:sz w:val="24"/>
          <w:szCs w:val="24"/>
        </w:rPr>
        <w:t>определяется полный перечень основных и вспомогательных материалов в соответствии с выбранной системой наружной окраски КТС;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hanging="300"/>
        <w:jc w:val="both"/>
        <w:rPr>
          <w:sz w:val="24"/>
          <w:szCs w:val="24"/>
        </w:rPr>
      </w:pPr>
      <w:r>
        <w:rPr>
          <w:sz w:val="24"/>
          <w:szCs w:val="24"/>
        </w:rPr>
        <w:t>устанавливаются нормы расхода компонентов окрасочной системы для наружной окраски КТС по данным производителя ЛКМ или изготовителя КТС;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hanging="300"/>
        <w:jc w:val="both"/>
        <w:rPr>
          <w:sz w:val="24"/>
          <w:szCs w:val="24"/>
        </w:rPr>
      </w:pPr>
      <w:r>
        <w:rPr>
          <w:sz w:val="24"/>
          <w:szCs w:val="24"/>
        </w:rPr>
        <w:t>определяется стоимость единицы каждого материала окрасочной системы в регионе;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hanging="300"/>
        <w:jc w:val="both"/>
        <w:rPr>
          <w:sz w:val="24"/>
          <w:szCs w:val="24"/>
        </w:rPr>
      </w:pPr>
      <w:r>
        <w:rPr>
          <w:sz w:val="24"/>
          <w:szCs w:val="24"/>
        </w:rPr>
        <w:t>перемножением норм расхода материала каждого компонента системы и его стоимости определяются затраты каждого компонента системы для наружной окраски КТС в денежном эквиваленте;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hanging="300"/>
        <w:jc w:val="both"/>
        <w:rPr>
          <w:sz w:val="24"/>
          <w:szCs w:val="24"/>
        </w:rPr>
      </w:pPr>
      <w:r>
        <w:rPr>
          <w:sz w:val="24"/>
          <w:szCs w:val="24"/>
        </w:rPr>
        <w:t>делением суммы затрат всех материалов на наружную окраску КТС в де</w:t>
        <w:softHyphen/>
        <w:t>нежной форме на площадь наружной поверхности КТС получают удель</w:t>
        <w:softHyphen/>
        <w:t>ную норму затрат ЛКМ на единицу окрашиваемой площади в денежном эквиваленте.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По аналогичному алгоритму можно определить норму расхода для раз</w:t>
        <w:softHyphen/>
        <w:t>личных систем окраски (новых, отремонтированных на площади свыше 50 %, пластмассовых составных частей) поставщиков ЛКМ, представленных в ре</w:t>
        <w:softHyphen/>
        <w:t>гионе.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Удельные нормы затрат ЛКМ на единицу площади окрашиваемой по</w:t>
        <w:softHyphen/>
        <w:t>верхности могут подлежать самостоятельному расчету экспертом, исходя из выбранной системы окрашивания, стоимости материалов в регионе и нали</w:t>
        <w:softHyphen/>
        <w:t>чия данных о площади окрашиваемых элементов.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Удельные нормы затрат ЛКМ могут быть рекомендованы для применения экспертами в регионе на основании обобщенных расчетов, проведенных ре</w:t>
        <w:softHyphen/>
        <w:t>гиональными центрами судебной экспертизы.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допущенных к применению для целей автотехнической экспертизы по специальности 13.4 программно-расчетных комплексах должен содержаться алгоритм расчета расхода материалов на единицу площади окрашиваемой поверхности. Эксперт, при необходимости, должен иметь возможность скор</w:t>
        <w:softHyphen/>
        <w:t>ректировать расход материалов окраски в программно-расчетных комплек</w:t>
        <w:softHyphen/>
        <w:t>сах с учетом цен, существующих в регионе, где определяется стоимость вос</w:t>
        <w:softHyphen/>
        <w:t>становительного ремонта.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Источником информации о затратах на окраску КТС (его составных ча</w:t>
        <w:softHyphen/>
        <w:t>стей) являются данные изготовителей КТС, производителей ЛКМ, справоч</w:t>
        <w:softHyphen/>
        <w:t>ная литература и компьютерные программы, разработанные по данным из</w:t>
        <w:softHyphen/>
        <w:t>готовителей КТС или производителей ЛКМ и приведенные в Примерном пе</w:t>
        <w:softHyphen/>
        <w:t>речне рекомендованных технических документов и источников информации, используемых для определения размера ущерба, стоимости восстановитель</w:t>
        <w:softHyphen/>
        <w:t>ного ремонта и оценки КТС (приложение 1.1 к первой части Методических рекомендаций).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Возможность применения программно-расчетных комплексов для целей автотехнической экспертизы по специальности 13.4 определяется РФЦСЭ по</w:t>
        <w:softHyphen/>
        <w:t>сле их апробации.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Использование предусмотренных источников информации не исключает ответственности эксперта за анализ и выбор данных для расчетов.</w:t>
      </w:r>
    </w:p>
    <w:p>
      <w:pPr>
        <w:pStyle w:val="111"/>
        <w:shd w:val="clear" w:color="auto" w:fill="auto"/>
        <w:tabs>
          <w:tab w:val="clear" w:pos="708"/>
          <w:tab w:val="left" w:pos="505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Стоимость ЛКМ (С</w:t>
      </w:r>
      <w:r>
        <w:rPr>
          <w:sz w:val="24"/>
          <w:szCs w:val="24"/>
          <w:vertAlign w:val="subscript"/>
        </w:rPr>
        <w:t>дкм</w:t>
      </w:r>
      <w:r>
        <w:rPr>
          <w:sz w:val="24"/>
          <w:szCs w:val="24"/>
        </w:rPr>
        <w:t>) рассчитывается по следующей формуле: где п - количество видов окраски (например, наружная, полная);</w:t>
      </w:r>
    </w:p>
    <w:p>
      <w:pPr>
        <w:pStyle w:val="111"/>
        <w:shd w:val="clear" w:color="auto" w:fill="auto"/>
        <w:tabs>
          <w:tab w:val="clear" w:pos="708"/>
          <w:tab w:val="left" w:pos="505" w:leader="none"/>
        </w:tabs>
        <w:ind w:hanging="0"/>
        <w:jc w:val="center"/>
        <w:rPr>
          <w:sz w:val="24"/>
          <w:szCs w:val="24"/>
        </w:rPr>
      </w:pPr>
      <w:r>
        <w:rPr/>
        <w:drawing>
          <wp:inline distT="0" distB="9525" distL="0" distR="9525">
            <wp:extent cx="2905125" cy="752475"/>
            <wp:effectExtent l="0" t="0" r="0" b="0"/>
            <wp:docPr id="13" name="Рисунок 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1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exact" w:line="1"/>
        <w:rPr/>
      </w:pPr>
      <w:r>
        <w:rPr/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N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 xml:space="preserve">- удельная норма затрат ЛКМ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  <w:lang w:bidi="en-US"/>
        </w:rPr>
        <w:t>-</w:t>
      </w:r>
      <w:r>
        <w:rPr>
          <w:sz w:val="24"/>
          <w:szCs w:val="24"/>
          <w:lang w:val="en-US" w:bidi="en-US"/>
        </w:rPr>
        <w:t>ro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вида окраски на единицу окраши</w:t>
        <w:softHyphen/>
        <w:t>ваемой площади, руб/м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>;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S</w:t>
      </w:r>
      <w:r>
        <w:rPr>
          <w:sz w:val="24"/>
          <w:szCs w:val="24"/>
          <w:vertAlign w:val="subscript"/>
          <w:lang w:bidi="en-US"/>
        </w:rPr>
        <w:t>0</w:t>
      </w:r>
      <w:r>
        <w:rPr>
          <w:sz w:val="24"/>
          <w:szCs w:val="24"/>
          <w:vertAlign w:val="subscript"/>
          <w:lang w:val="en-US" w:bidi="en-US"/>
        </w:rPr>
        <w:t>KP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 xml:space="preserve">- площадь кузовной составной части, окрашиваемая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</w:rPr>
        <w:t>-м видом окра</w:t>
        <w:softHyphen/>
        <w:t>ски.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Для случаев, регламентируемых законодательством об ОСАГО, стоимость окрасочных материалов принимается в соответствии с требованиями Единой методики.</w:t>
      </w:r>
    </w:p>
    <w:p>
      <w:pPr>
        <w:pStyle w:val="111"/>
        <w:shd w:val="clear" w:color="auto" w:fill="auto"/>
        <w:tabs>
          <w:tab w:val="clear" w:pos="708"/>
          <w:tab w:val="left" w:pos="794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В случае невозможности расчета способом нормирования расхода материалов на единицу окрашиваемой площади стоимость материалов окра</w:t>
        <w:softHyphen/>
        <w:t>ски, противокоррозионной и противошумной обработки кузова (кабины) определяют в зависимости от стоимости работ по окраске в следующем про</w:t>
        <w:softHyphen/>
        <w:t>центном соотношении: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306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70-80 % - в случае 1-слойного покрытия эмалями (1-слойное ЛКП);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306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100-110 % - в случае 2-слойного ЛКП, в частности с эффектом «металлик»;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306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120-130 % - в случае ЛКП с эффектом «перламутр».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Стоимость материалов для защиты кузова от коррозии составляет 40-50 % от стоимости работ по соответствующей обработке кузова.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Алгоритм определения стоимости затрат на окрасочные работы и затраты на ЛКМ может основываться на общих источниках информа</w:t>
        <w:softHyphen/>
        <w:t xml:space="preserve">ции, например, в работах и материалах при расчете используется система </w:t>
      </w:r>
      <w:r>
        <w:rPr>
          <w:sz w:val="24"/>
          <w:szCs w:val="24"/>
          <w:lang w:val="en-US" w:bidi="en-US"/>
        </w:rPr>
        <w:t>DAT</w:t>
      </w:r>
      <w:r>
        <w:rPr>
          <w:sz w:val="24"/>
          <w:szCs w:val="24"/>
          <w:lang w:bidi="en-US"/>
        </w:rPr>
        <w:t>-</w:t>
      </w:r>
      <w:r>
        <w:rPr>
          <w:sz w:val="24"/>
          <w:szCs w:val="24"/>
          <w:lang w:val="en-US" w:bidi="en-US"/>
        </w:rPr>
        <w:t>Eurolack</w:t>
      </w:r>
      <w:r>
        <w:rPr>
          <w:sz w:val="24"/>
          <w:szCs w:val="24"/>
          <w:lang w:bidi="en-US"/>
        </w:rPr>
        <w:t xml:space="preserve">, </w:t>
      </w:r>
      <w:r>
        <w:rPr>
          <w:sz w:val="24"/>
          <w:szCs w:val="24"/>
          <w:lang w:val="en-US" w:bidi="en-US"/>
        </w:rPr>
        <w:t>AZT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или система от изготовителя и т. д.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Также возможно использовать при определении стоимости затрат на окра</w:t>
        <w:softHyphen/>
        <w:t>сочные работы один из указанных источников информации, а для стоимости затраты на ЛКМ - другой. Например, стоимость работ по окраске определить по данным изготовителя КТС из рекомендованного программно-расчетного комплекса, а стоимость материалов - при отсутствии отображения в указан</w:t>
        <w:softHyphen/>
        <w:t>ной программе площади составных частей и стоимости единицы материалов в РФ - в процентном соотношении, как указано выше.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spacing w:before="0" w:after="60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Стоимость материалов окраски составной части (С</w:t>
      </w:r>
      <w:r>
        <w:rPr>
          <w:sz w:val="24"/>
          <w:szCs w:val="24"/>
          <w:vertAlign w:val="subscript"/>
        </w:rPr>
        <w:t>лкм</w:t>
      </w:r>
      <w:r>
        <w:rPr>
          <w:sz w:val="24"/>
          <w:szCs w:val="24"/>
        </w:rPr>
        <w:t>), которая до оцениваемого повреждения уже нуждалась в окрашивании (например, вслед</w:t>
        <w:softHyphen/>
        <w:t>ствие повреждения, коррозии и т. п.), определяется по формуле: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spacing w:before="0" w:after="60"/>
        <w:ind w:left="300" w:hanging="0"/>
        <w:jc w:val="center"/>
        <w:rPr>
          <w:sz w:val="24"/>
          <w:szCs w:val="24"/>
        </w:rPr>
      </w:pPr>
      <w:r>
        <w:rPr/>
        <w:drawing>
          <wp:inline distT="0" distB="0" distL="0" distR="9525">
            <wp:extent cx="2562225" cy="457200"/>
            <wp:effectExtent l="0" t="0" r="0" b="0"/>
            <wp:docPr id="14" name="Рисунок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2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См</w:t>
      </w:r>
      <w:r>
        <w:rPr>
          <w:sz w:val="24"/>
          <w:szCs w:val="24"/>
          <w:vertAlign w:val="subscript"/>
        </w:rPr>
        <w:t>окр</w:t>
      </w:r>
      <w:r>
        <w:rPr>
          <w:sz w:val="24"/>
          <w:szCs w:val="24"/>
        </w:rPr>
        <w:t xml:space="preserve"> - стоимость материалов окраски всей составной части, руб.;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К</w:t>
      </w:r>
      <w:r>
        <w:rPr>
          <w:sz w:val="24"/>
          <w:szCs w:val="24"/>
          <w:vertAlign w:val="subscript"/>
        </w:rPr>
        <w:t>пов</w:t>
      </w:r>
      <w:r>
        <w:rPr>
          <w:sz w:val="24"/>
          <w:szCs w:val="24"/>
        </w:rPr>
        <w:t xml:space="preserve"> - коэффициент повреждения, который представляет собой отноше</w:t>
        <w:softHyphen/>
        <w:t>ние площади окрашивания вследствие оцениваемых повреждений к общей площади составной части.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Площадь окрашивания вследствие оцениваемых повреждений определя</w:t>
        <w:softHyphen/>
        <w:t>ется вычитанием от общей площади составной части площади повреждений, которые имели место до оцениваемого события. Указанная площадь измеря</w:t>
        <w:softHyphen/>
        <w:t>ется прямоугольником, в котором возможно разместить повреждения, с при</w:t>
        <w:softHyphen/>
        <w:t>пуском до 10 см на увеличение от его видимой границы.</w:t>
      </w:r>
    </w:p>
    <w:p>
      <w:pPr>
        <w:pStyle w:val="111"/>
        <w:shd w:val="clear" w:color="auto" w:fill="auto"/>
        <w:tabs>
          <w:tab w:val="clear" w:pos="708"/>
          <w:tab w:val="left" w:pos="3350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Аналогичным образом определяется стоимость работ по окраске указан</w:t>
        <w:softHyphen/>
        <w:t>ной составной части.</w:t>
        <w:tab/>
        <w:t>'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случае ремонтной окраски «пятном с переходом» стоимость материалов для окраски также определяют по формуле и указанным алгоритмом.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При ремонтной окраске двухслойного ЛКП с эффектом «металлик» к затратам материалов окраски и трудоемкости окрасочных работ поврежден</w:t>
        <w:softHyphen/>
        <w:t>ной составной части необходимо добавить 15 % от соответствующего значе</w:t>
        <w:softHyphen/>
        <w:t>ния на окраску смежной составной части в зоне «перехода» (если этим мето</w:t>
        <w:softHyphen/>
        <w:t>дом окрашивается смежная составная часть).</w:t>
      </w:r>
    </w:p>
    <w:p>
      <w:pPr>
        <w:pStyle w:val="111"/>
        <w:shd w:val="clear" w:color="auto" w:fill="auto"/>
        <w:spacing w:before="0" w:after="40"/>
        <w:jc w:val="both"/>
        <w:rPr>
          <w:sz w:val="24"/>
          <w:szCs w:val="24"/>
        </w:rPr>
      </w:pPr>
      <w:r>
        <w:rPr>
          <w:sz w:val="24"/>
          <w:szCs w:val="24"/>
        </w:rPr>
        <w:t>При ремонтной окраске ЛКП с эффектом «перламутр» и многослойном покрытии с применением метода «перехода» также наносится и филер (грунт- заполнитель), а к затратам на материалы для окраски и трудоемкость окраши</w:t>
        <w:softHyphen/>
        <w:t>вания поврежденной составной необходимо добавить 50 % от соответствую</w:t>
        <w:softHyphen/>
        <w:t>щего значения на окраску смежной составной в зоне «перехода».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случае повреждения многослойного ЛКП с другими особыми эффекта</w:t>
        <w:softHyphen/>
        <w:t>ми в затратах на окраску (материалы и работу) должна учитываться плоскость расположения составных частей, подлежащих наружной окраске с целью вы</w:t>
        <w:softHyphen/>
        <w:t>равнивания цвета и визуального эффекта от покрытия.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Увеличение трудоемкости работ по окраске и затрат материалов при окра</w:t>
        <w:softHyphen/>
        <w:t>ске «переходом» не учитывается, если ЛКП однослойное.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before="0" w:after="60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материала, который используют для изготовления ре</w:t>
        <w:softHyphen/>
        <w:t>монтной вставки (С</w:t>
      </w:r>
      <w:r>
        <w:rPr>
          <w:sz w:val="24"/>
          <w:szCs w:val="24"/>
          <w:vertAlign w:val="subscript"/>
        </w:rPr>
        <w:t>вст</w:t>
      </w:r>
      <w:r>
        <w:rPr>
          <w:sz w:val="24"/>
          <w:szCs w:val="24"/>
        </w:rPr>
        <w:t>) при частичной замене кузовной составной части, рас</w:t>
        <w:softHyphen/>
        <w:t>считывают, исходя из стоимости материала для ее изготовления - стали мар</w:t>
        <w:softHyphen/>
        <w:t>ки ст.0.8 кп, - и площади заготовки для вставки, по формуле: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before="0" w:after="60"/>
        <w:ind w:hanging="0"/>
        <w:jc w:val="center"/>
        <w:rPr>
          <w:sz w:val="24"/>
          <w:szCs w:val="24"/>
        </w:rPr>
      </w:pPr>
      <w:r>
        <w:rPr/>
        <w:drawing>
          <wp:inline distT="0" distB="9525" distL="0" distR="9525">
            <wp:extent cx="3133725" cy="447675"/>
            <wp:effectExtent l="0" t="0" r="0" b="0"/>
            <wp:docPr id="15" name="Рисунок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3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66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0,007859 - постоянное число, отражающее вес заготовки через ее площадь, с учетом приведения к единой системе измерения;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МЕТ</w:t>
      </w:r>
      <w:r>
        <w:rPr>
          <w:sz w:val="24"/>
          <w:szCs w:val="24"/>
        </w:rPr>
        <w:t xml:space="preserve"> ~ рыночная стоимость 1 тонны стали холоднокатаной марки ст.0.8 кп нормальной точности, руб.;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S</w:t>
      </w:r>
      <w:r>
        <w:rPr>
          <w:sz w:val="24"/>
          <w:szCs w:val="24"/>
          <w:vertAlign w:val="subscript"/>
          <w:lang w:val="en-US" w:bidi="en-US"/>
        </w:rPr>
        <w:t>BCT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- площадь заготовки для ремонтной вставки, м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>. Для ремонтных вста</w:t>
        <w:softHyphen/>
        <w:t>вок кузовных составных частей и оперения применяют заготовку площадью 2 м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 xml:space="preserve"> (размером 1 х 2 м).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Данный расчет применим и для случаев, когда в качестве ремонтной встав</w:t>
        <w:softHyphen/>
        <w:t>ки используются отбракованные составные части кузовов КТС.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ab/>
        <w:t>Стоимость материала, используемого для изготовления ремонтной вставки (С</w:t>
      </w:r>
      <w:r>
        <w:rPr>
          <w:sz w:val="24"/>
          <w:szCs w:val="24"/>
          <w:vertAlign w:val="subscript"/>
        </w:rPr>
        <w:t>вст</w:t>
      </w:r>
      <w:r>
        <w:rPr>
          <w:sz w:val="24"/>
          <w:szCs w:val="24"/>
        </w:rPr>
        <w:t>) для усиления рамы, рассчитывают, исходя из материала ее из</w:t>
        <w:softHyphen/>
        <w:t>готовления - стали холоднокатаной марки ст.Зпс и длины вставки, по фор</w:t>
        <w:softHyphen/>
        <w:t>муле: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lineRule="auto" w:line="266"/>
        <w:ind w:hanging="0"/>
        <w:jc w:val="center"/>
        <w:rPr>
          <w:sz w:val="24"/>
          <w:szCs w:val="24"/>
        </w:rPr>
      </w:pPr>
      <w:r>
        <w:rPr/>
        <w:drawing>
          <wp:inline distT="0" distB="0" distL="0" distR="9525">
            <wp:extent cx="3000375" cy="419100"/>
            <wp:effectExtent l="0" t="0" r="0" b="0"/>
            <wp:docPr id="16" name="Рисунок 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4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76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0,0628 - постоянное число, отражающее вес заготовки через ее линейный размер, с учетом приведения к единой системе измерения;</w:t>
      </w:r>
    </w:p>
    <w:p>
      <w:pPr>
        <w:pStyle w:val="111"/>
        <w:shd w:val="clear" w:color="auto" w:fill="auto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МЕТ</w:t>
      </w:r>
      <w:r>
        <w:rPr>
          <w:sz w:val="24"/>
          <w:szCs w:val="24"/>
        </w:rPr>
        <w:t xml:space="preserve"> “ рыночная стоимость 1 тонны стали холоднокатаной марки ст.Зпс, руб.;</w:t>
      </w:r>
    </w:p>
    <w:p>
      <w:pPr>
        <w:pStyle w:val="111"/>
        <w:shd w:val="clear" w:color="auto" w:fill="auto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L</w:t>
      </w:r>
      <w:r>
        <w:rPr>
          <w:sz w:val="24"/>
          <w:szCs w:val="24"/>
          <w:vertAlign w:val="subscript"/>
          <w:lang w:val="en-US" w:bidi="en-US"/>
        </w:rPr>
        <w:t>BCT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- длина ремонтной вставки, м.</w:t>
      </w:r>
    </w:p>
    <w:p>
      <w:pPr>
        <w:pStyle w:val="111"/>
        <w:shd w:val="clear" w:color="auto" w:fill="auto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Длина усилительных вставок рам обычно составляет 1-2 м. Более длинные вставки используются для усиления рамы после правки значительного про</w:t>
        <w:softHyphen/>
        <w:t>гиба.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В стоимость материалов включают стоимость крепежных деталей со</w:t>
        <w:softHyphen/>
        <w:t>ставных частей в объеме до 2 % от общей стоимости заменяемых составных частей, в которых используют такой крепеж.</w:t>
      </w:r>
    </w:p>
    <w:p>
      <w:pPr>
        <w:pStyle w:val="111"/>
        <w:shd w:val="clear" w:color="auto" w:fill="auto"/>
        <w:spacing w:lineRule="auto" w:line="276" w:before="0" w:after="6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крепежных деталей может быть рассчитана исходя из их рас</w:t>
        <w:softHyphen/>
        <w:t>хода на выполнение необходимых ремонтных работ, например, разборочно-</w:t>
        <w:softHyphen/>
        <w:t>сборочных работ.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Количество (расход) материалов - эксплуатационных жидкостей, в частности, моторных и трансмиссионных масел, масла гидравлических при</w:t>
        <w:softHyphen/>
        <w:t>водов и систем, охлаждающей жидкости, хладагентов, жидкости тормозных и климатических систем и прочее, определяют в соответствии с данными их производителей или изготовителя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Следует учитывать, что если такие Эксплуатационные материалы не утра</w:t>
        <w:softHyphen/>
        <w:t>чены, то их расход учитывается на доливку до нормативного значения при ремонте узла или агрегата, где они используются.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Повторное использование рабочей жидкости, кроме топлива, в случае за</w:t>
        <w:softHyphen/>
        <w:t>мены узла или агрегата, где они используются, не допускается (если другое не предусмотрено изготовителем).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Стоимость ремонтно-восстановительных работ С</w:t>
      </w:r>
      <w:r>
        <w:rPr>
          <w:sz w:val="24"/>
          <w:szCs w:val="24"/>
          <w:vertAlign w:val="subscript"/>
        </w:rPr>
        <w:t>рр</w:t>
      </w:r>
      <w:r>
        <w:rPr>
          <w:sz w:val="24"/>
          <w:szCs w:val="24"/>
        </w:rPr>
        <w:t xml:space="preserve"> рассчитывают по формуле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20" w:hanging="0"/>
        <w:jc w:val="center"/>
        <w:rPr>
          <w:sz w:val="24"/>
          <w:szCs w:val="24"/>
        </w:rPr>
      </w:pPr>
      <w:r>
        <w:rPr/>
        <w:drawing>
          <wp:inline distT="0" distB="0" distL="0" distR="9525">
            <wp:extent cx="4543425" cy="628650"/>
            <wp:effectExtent l="0" t="0" r="0" b="0"/>
            <wp:docPr id="17" name="Рисунок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5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С</w:t>
      </w:r>
      <w:r>
        <w:rPr>
          <w:sz w:val="24"/>
          <w:szCs w:val="24"/>
          <w:vertAlign w:val="subscript"/>
        </w:rPr>
        <w:t>р</w:t>
      </w:r>
      <w:r>
        <w:rPr>
          <w:sz w:val="24"/>
          <w:szCs w:val="24"/>
          <w:vertAlign w:val="subscript"/>
          <w:lang w:val="en-US"/>
        </w:rPr>
        <w:t>i</w:t>
      </w:r>
      <w:r>
        <w:rPr>
          <w:sz w:val="24"/>
          <w:szCs w:val="24"/>
        </w:rPr>
        <w:t xml:space="preserve">. - стоимость работ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  <w:lang w:bidi="en-US"/>
        </w:rPr>
        <w:t>-</w:t>
      </w:r>
      <w:r>
        <w:rPr>
          <w:sz w:val="24"/>
          <w:szCs w:val="24"/>
          <w:lang w:val="en-US" w:bidi="en-US"/>
        </w:rPr>
        <w:t>ro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вида,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Т</w:t>
      </w:r>
      <w:r>
        <w:rPr>
          <w:sz w:val="24"/>
          <w:szCs w:val="24"/>
          <w:vertAlign w:val="subscript"/>
        </w:rPr>
        <w:t>р</w:t>
      </w:r>
      <w:r>
        <w:rPr>
          <w:sz w:val="24"/>
          <w:szCs w:val="24"/>
          <w:vertAlign w:val="subscript"/>
          <w:lang w:val="en-US"/>
        </w:rPr>
        <w:t>ji</w:t>
      </w:r>
      <w:r>
        <w:rPr>
          <w:sz w:val="24"/>
          <w:szCs w:val="24"/>
        </w:rPr>
        <w:t xml:space="preserve">.. - трудоемкость </w:t>
      </w:r>
      <w:r>
        <w:rPr>
          <w:sz w:val="24"/>
          <w:szCs w:val="24"/>
          <w:lang w:val="en-US" w:bidi="en-US"/>
        </w:rPr>
        <w:t>j</w:t>
      </w:r>
      <w:r>
        <w:rPr>
          <w:sz w:val="24"/>
          <w:szCs w:val="24"/>
        </w:rPr>
        <w:t xml:space="preserve">-й операции (комплекса) по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</w:rPr>
        <w:t>-му виду работ, нормо- час;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  <w:lang w:val="en-US"/>
        </w:rPr>
        <w:t>tpi</w:t>
      </w:r>
      <w:r>
        <w:rPr>
          <w:sz w:val="24"/>
          <w:szCs w:val="24"/>
        </w:rPr>
        <w:t xml:space="preserve">, - стоимость нормо-часа по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</w:rPr>
        <w:t>-му виду работ,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р</w:t>
      </w:r>
      <w:r>
        <w:rPr>
          <w:sz w:val="24"/>
          <w:szCs w:val="24"/>
          <w:vertAlign w:val="subscript"/>
          <w:lang w:val="en-US"/>
        </w:rPr>
        <w:t>i</w:t>
      </w:r>
      <w:r>
        <w:rPr>
          <w:sz w:val="24"/>
          <w:szCs w:val="24"/>
        </w:rPr>
        <w:t xml:space="preserve"> - стоимость работ, принятая непосредственно в денежном выраже</w:t>
        <w:softHyphen/>
        <w:t>нии, руб.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before="120" w:after="0"/>
        <w:jc w:val="both"/>
        <w:rPr/>
      </w:pPr>
      <w:r>
        <w:rPr>
          <w:b/>
          <w:bCs/>
        </w:rPr>
        <w:t xml:space="preserve">      </w:t>
      </w:r>
      <w:r>
        <w:rPr>
          <w:b/>
          <w:bCs/>
        </w:rPr>
        <w:t xml:space="preserve">Стоимость расходных материалов в отношении поврежденного транспортного средства NISSAN Juke, регистрационный знак </w:t>
      </w:r>
      <w:r>
        <w:rPr>
          <w:b/>
          <w:bCs/>
          <w:color w:val="000000"/>
        </w:rPr>
        <w:t>********</w:t>
      </w:r>
      <w:r>
        <w:rPr>
          <w:b/>
          <w:bCs/>
        </w:rPr>
        <w:t xml:space="preserve"> определена с использованием авторизованного программного продукта и указана в калькуляции по стоимости восстановительного ремонта.</w:t>
      </w:r>
    </w:p>
    <w:p>
      <w:pPr>
        <w:pStyle w:val="111"/>
        <w:shd w:val="clear" w:color="auto" w:fill="auto"/>
        <w:spacing w:lineRule="auto" w:line="264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111"/>
        <w:shd w:val="clear" w:color="auto" w:fill="auto"/>
        <w:spacing w:lineRule="auto" w:line="264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Определение стоимости ремонтных работа.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tabs>
          <w:tab w:val="clear" w:pos="708"/>
          <w:tab w:val="left" w:pos="567" w:leader="none"/>
          <w:tab w:val="left" w:pos="798" w:leader="none"/>
        </w:tabs>
        <w:ind w:firstLine="142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>
        <w:rPr>
          <w:sz w:val="24"/>
          <w:szCs w:val="24"/>
        </w:rPr>
        <w:t>Трудоемкость ремонта определяют на основании нормативных до</w:t>
        <w:softHyphen/>
        <w:t>кументов изготовителя КТС или документов, разработанных на заказ (при участии изготовителя КТС).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случае отсутствия данных изготовителя о нормативах трудоемкости определенных ремонтных операций (восстановительного ремонта кузовов, кабин и рам КТС и т. п.) используют оценочную трудоемкость.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Для моечно-уборочных работ, противокоррозионной и противошумной обработки, отдельных видов диагностических, регулировочных и других ра</w:t>
        <w:softHyphen/>
        <w:t>бот, в случае отсутствия данных изготовителя, применяется трудоемкость та</w:t>
        <w:softHyphen/>
        <w:t>ких работ для аналогичных КТС и их составных частей производства стран СНГ.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Если исполнитель ремонта применяет официально предоставленные из</w:t>
        <w:softHyphen/>
        <w:t>готовителем КТС нормы трудоемкости ремонта поврежденного кузова (каби</w:t>
        <w:softHyphen/>
        <w:t>ны) КТС или его составных частей в определенных этим изготовителем усло</w:t>
        <w:softHyphen/>
        <w:t>виях ремонта, используют нормы изготовителя (при условии предоставления указанных норм эксперту).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>
        <w:rPr>
          <w:sz w:val="24"/>
          <w:szCs w:val="24"/>
        </w:rPr>
        <w:t>Оценочная трудоемкость является усредненной (аналитически уста</w:t>
        <w:softHyphen/>
        <w:t>новленной) нормой времени на проведение восстановительного ремонта КТС авторизованным или неавторизованным исполнителем ремонта, выполняе</w:t>
        <w:softHyphen/>
        <w:t>мого в нормальных условиях работы (далее - нормальные условия).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Нормальные условия предусматривают:</w:t>
      </w:r>
    </w:p>
    <w:p>
      <w:pPr>
        <w:pStyle w:val="111"/>
        <w:shd w:val="clear" w:color="auto" w:fill="auto"/>
        <w:tabs>
          <w:tab w:val="clear" w:pos="708"/>
          <w:tab w:val="left" w:pos="56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производственные помещения, в которых обеспечены условия работы персонала, отвечающие законодательству;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профессионально подготовленный и соответствующий требованиям относительно выполняемого ремонта персонал;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в)</w:t>
        <w:tab/>
        <w:t>технологическую документацию, утвержденную в установленном по</w:t>
        <w:softHyphen/>
        <w:t>рядке, которая обеспечивает соблюдение требований о безопасном выполне</w:t>
        <w:softHyphen/>
        <w:t>нии работ, гарантирование безопасности конструкции и других потребитель</w:t>
        <w:softHyphen/>
        <w:t>ских свойств отремонтированного КТС или его составных частей;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г)</w:t>
        <w:tab/>
        <w:t>выполнение процессов ремонта согласно требованиям технологической документации и законодательства: своевременного предоставления исполни</w:t>
        <w:softHyphen/>
        <w:t>телю ремонта на рабочее место необходимой нормативно-технической доку</w:t>
        <w:softHyphen/>
        <w:t>ментации, средств ремонта (оборудования, рабочего инструмента, в частно</w:t>
        <w:softHyphen/>
        <w:t>сти, средств измерительной техники, основных и вспомогательных материа</w:t>
        <w:softHyphen/>
        <w:t>лов, запасных частей), отвечающих требованиям;</w:t>
      </w:r>
    </w:p>
    <w:p>
      <w:pPr>
        <w:pStyle w:val="111"/>
        <w:shd w:val="clear" w:color="auto" w:fill="auto"/>
        <w:tabs>
          <w:tab w:val="clear" w:pos="708"/>
          <w:tab w:val="left" w:pos="57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д)</w:t>
        <w:tab/>
        <w:t>нормы численности и нормы выработки исполнителей ремонта, уста</w:t>
        <w:softHyphen/>
        <w:t>новленные согласно законодательству.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Средняя региональная стоимость нормо-часа ремонтных работ мо</w:t>
        <w:softHyphen/>
        <w:t>жет быть определена экспертом исследованием регионального рынка услуг как среднеарифметическое значение стоимости нормо-часа в рублях по ви</w:t>
        <w:softHyphen/>
        <w:t>дам ремонтных работ (шиномонтажные, слесарно-механические, электро</w:t>
        <w:softHyphen/>
        <w:t>монтажные, арматурные, кузовные и малярные и др.).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случае, если стоимость нормо-часа работ в ремонтных организациях не различается по виду ремонтного воздействия, в расчетах используется единая величина стоимости нормо-часа на все виды работ.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Стоимость нормо-часа определяется на основании утвержденных тарифов по ремонту и обслуживанию КТС исследуемой марки по данным находящихся в регионе авторизованных исполнителей ремонта и неавтори</w:t>
        <w:softHyphen/>
        <w:t>зованных ремонтников, имеющих необходимое оборудование, оснастку, ква</w:t>
        <w:softHyphen/>
        <w:t>лифицированный персонал и выполняющих все необходимые виды работ в соответствии с нормативами изготовителя исследуемой марки КТС. Если восстановительный ремонт или отдельные виды ремонтных работ могут быть выполнены на находящихся в регионе специализированных авторемонтных предприятиях и СТОА, то их тарифы включаются в репрезентативную вы</w:t>
        <w:softHyphen/>
        <w:t>борку.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Допускается использование данных, находящихся в свободном доступе (сайты сети Интернет, сборники, справочники и т. д.), а также заказ-наряды СТОА. При использовании таких данных обязательно указание исполнителя ремонта (наименование, адрес и телефон), адрес его сайта в сети Интернет.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нормо-часа устанавливается на дату определения стоимости восстановительного ремонта и должна соответствовать расценкам, приме</w:t>
        <w:softHyphen/>
        <w:t>няемым для физических лиц за наличный расчет, без акций и персональных скидок, прочих особых условий.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hanging="0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ab/>
        <w:t>Средняя региональная стоимость нормо-часа ремонтных работ опре</w:t>
        <w:softHyphen/>
        <w:t>деляется раздельно для: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9" w:leader="none"/>
        </w:tabs>
        <w:ind w:hanging="300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авторизованных исполнителей ремонта. Ее значения применяются для КТС, находящихся на гарантийном периоде эксплуатации и (или) прохо</w:t>
        <w:softHyphen/>
        <w:t>дящих техническое обслуживание у авторизованного ремонтника;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9" w:leader="none"/>
        </w:tabs>
        <w:ind w:hanging="300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неавторизованных ремонтников и специализированных авторемонтных предприятий и СТОА. Ее значения применяются для КТС, имеющих срок эксплуатации, превышающий граничный;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9" w:leader="none"/>
        </w:tabs>
        <w:ind w:hanging="300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всей репрезентативной выборки. Ее значения применяются для всех остальных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Рекомендуемое минимальное количество выборки в расчете региональ</w:t>
        <w:softHyphen/>
        <w:t>ной стоимости нормо-часа по каждой из приведенных групп исполнителей ремонта составляет не менее 5. Если в регионе нет такого количества испол</w:t>
        <w:softHyphen/>
        <w:t>нителей ремонта, используются данные имеющихся ремонтников (ремонт</w:t>
        <w:softHyphen/>
        <w:t>ника).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Выбор стоимостных параметров восстановительного ремонта может быть скорректирован с учетом сложности предстоящего ремонта и возмож</w:t>
        <w:softHyphen/>
        <w:t>ностей ремонтной базы ремонтника. Предпочтение имеет исполнитель ре</w:t>
        <w:softHyphen/>
        <w:t>монта, могущий обеспечить выполнение всего объема ремонтных работ по восстановлению КТС. Минимальные расценки на окраску следует применять для КТС, имеющих неудовлетворительное состояние ЛКП. В остальных случаях рекомендуется использовать средние стоимостные параметры.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spacing w:lineRule="auto" w:line="259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При отсутствии технологической документации по ремонту или нор</w:t>
        <w:softHyphen/>
        <w:t>мативной документации относительно трудоемкости ремонта определенного типа КТС, в частности, автобуса, прицепа, полуприцепа, КТС специального или специализированного назначения, стоимость восстановительного ре</w:t>
        <w:softHyphen/>
        <w:t>монта может определяться по фактическим затратам исполнителя ремонта с дальнейшим корректированием стоимости составных частей на величину коэффициента износа.</w:t>
      </w:r>
    </w:p>
    <w:p>
      <w:pPr>
        <w:pStyle w:val="111"/>
        <w:shd w:val="clear" w:color="auto" w:fill="auto"/>
        <w:spacing w:lineRule="auto" w:line="259" w:before="0" w:after="240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Смета исполнителя ремонта может быть скорректирована лишь в части износа и стоимости оригинальных составных частей, стоимости материалов (в том числе и лакокрасочных), с учетом требований Методических рекомен</w:t>
        <w:softHyphen/>
        <w:t>даций, других объективных данных относительно выполнения ремонта.</w:t>
      </w:r>
    </w:p>
    <w:p>
      <w:pPr>
        <w:pStyle w:val="Normal"/>
        <w:spacing w:before="120" w:after="0"/>
        <w:jc w:val="both"/>
        <w:rPr>
          <w:b/>
          <w:b/>
          <w:bCs/>
        </w:rPr>
      </w:pPr>
      <w:r>
        <w:rPr>
          <w:b/>
          <w:bCs/>
        </w:rPr>
        <w:t xml:space="preserve">      </w:t>
      </w:r>
      <w:r>
        <w:rPr>
          <w:b/>
          <w:bCs/>
        </w:rPr>
        <w:t>Стоимость нормо-часа ремонтных работ принята как средняя региональ</w:t>
        <w:softHyphen/>
        <w:t>ная, то есть как среднеарифметическое значение стоимости нормо-часа по данным находящихся в регионе неавторизованных (независимых) исполни</w:t>
        <w:softHyphen/>
        <w:t>телей ремонта КТС.</w:t>
      </w:r>
    </w:p>
    <w:p>
      <w:pPr>
        <w:pStyle w:val="Normal"/>
        <w:spacing w:before="120" w:after="0"/>
        <w:jc w:val="both"/>
        <w:rPr/>
      </w:pPr>
      <w:r>
        <w:rPr>
          <w:b/>
          <w:bCs/>
        </w:rPr>
        <w:t xml:space="preserve">      </w:t>
      </w:r>
      <w:r>
        <w:rPr>
          <w:b/>
          <w:bCs/>
        </w:rPr>
        <w:t xml:space="preserve">Стоимость нормо-часа в отношении поврежденного транспортного средства NISSAN Juke, регистрационный знак </w:t>
      </w:r>
      <w:r>
        <w:rPr>
          <w:b/>
          <w:bCs/>
          <w:color w:val="000000"/>
        </w:rPr>
        <w:t>********</w:t>
      </w:r>
      <w:r>
        <w:rPr>
          <w:b/>
          <w:bCs/>
        </w:rPr>
        <w:t xml:space="preserve"> указана в таблице №5.</w:t>
      </w:r>
    </w:p>
    <w:p>
      <w:pPr>
        <w:pStyle w:val="Caption"/>
        <w:keepNext w:val="true"/>
        <w:keepLines/>
        <w:suppressAutoHyphens w:val="true"/>
        <w:jc w:val="right"/>
        <w:rPr>
          <w:b w:val="false"/>
          <w:b w:val="false"/>
          <w:sz w:val="24"/>
          <w:szCs w:val="24"/>
        </w:rPr>
      </w:pPr>
      <w:r>
        <w:rPr>
          <w:b w:val="false"/>
          <w:sz w:val="24"/>
          <w:szCs w:val="24"/>
        </w:rPr>
        <w:t xml:space="preserve">Таблица </w:t>
      </w:r>
      <w:r>
        <w:rPr>
          <w:b w:val="false"/>
          <w:sz w:val="24"/>
          <w:szCs w:val="24"/>
          <w:lang w:val="ru-RU"/>
        </w:rPr>
        <w:t>5</w:t>
      </w:r>
    </w:p>
    <w:tbl>
      <w:tblPr>
        <w:tblW w:w="5000" w:type="pct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1710"/>
        <w:gridCol w:w="2835"/>
        <w:gridCol w:w="1619"/>
        <w:gridCol w:w="1396"/>
        <w:gridCol w:w="1508"/>
        <w:gridCol w:w="1279"/>
      </w:tblGrid>
      <w:tr>
        <w:trPr>
          <w:trHeight w:val="20" w:hRule="atLeast"/>
        </w:trPr>
        <w:tc>
          <w:tcPr>
            <w:tcW w:w="1034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 xml:space="preserve">Нормочасы на ремонт </w:t>
            </w:r>
          </w:p>
        </w:tc>
      </w:tr>
      <w:tr>
        <w:trPr>
          <w:trHeight w:val="20" w:hRule="atLeast"/>
        </w:trPr>
        <w:tc>
          <w:tcPr>
            <w:tcW w:w="1034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 </w:t>
            </w:r>
          </w:p>
        </w:tc>
      </w:tr>
      <w:tr>
        <w:trPr>
          <w:trHeight w:val="20" w:hRule="atLeast"/>
        </w:trPr>
        <w:tc>
          <w:tcPr>
            <w:tcW w:w="17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Наименование</w:t>
            </w:r>
          </w:p>
        </w:tc>
        <w:tc>
          <w:tcPr>
            <w:tcW w:w="2835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Телефон, Веб-сайт, Адрес</w:t>
            </w:r>
          </w:p>
        </w:tc>
        <w:tc>
          <w:tcPr>
            <w:tcW w:w="5802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Виды работ и стоимость нормо-часа</w:t>
            </w:r>
          </w:p>
        </w:tc>
      </w:tr>
      <w:tr>
        <w:trPr>
          <w:trHeight w:val="20" w:hRule="atLeast"/>
        </w:trPr>
        <w:tc>
          <w:tcPr>
            <w:tcW w:w="17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автосервиса</w:t>
            </w:r>
          </w:p>
        </w:tc>
        <w:tc>
          <w:tcPr>
            <w:tcW w:w="2835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</w:r>
          </w:p>
        </w:tc>
        <w:tc>
          <w:tcPr>
            <w:tcW w:w="1619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Слесарно-</w:t>
            </w:r>
          </w:p>
        </w:tc>
        <w:tc>
          <w:tcPr>
            <w:tcW w:w="139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Электро-</w:t>
            </w:r>
          </w:p>
        </w:tc>
        <w:tc>
          <w:tcPr>
            <w:tcW w:w="150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Арматурные</w:t>
            </w:r>
          </w:p>
        </w:tc>
        <w:tc>
          <w:tcPr>
            <w:tcW w:w="1279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Кузовные </w:t>
            </w:r>
          </w:p>
        </w:tc>
      </w:tr>
      <w:tr>
        <w:trPr>
          <w:trHeight w:val="20" w:hRule="atLeast"/>
        </w:trPr>
        <w:tc>
          <w:tcPr>
            <w:tcW w:w="17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 </w:t>
            </w:r>
          </w:p>
        </w:tc>
        <w:tc>
          <w:tcPr>
            <w:tcW w:w="2835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</w:r>
          </w:p>
        </w:tc>
        <w:tc>
          <w:tcPr>
            <w:tcW w:w="1619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механические</w:t>
            </w:r>
          </w:p>
        </w:tc>
        <w:tc>
          <w:tcPr>
            <w:tcW w:w="139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монтажные</w:t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</w:r>
          </w:p>
        </w:tc>
        <w:tc>
          <w:tcPr>
            <w:tcW w:w="1279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малярные</w:t>
            </w:r>
          </w:p>
        </w:tc>
      </w:tr>
      <w:tr>
        <w:trPr>
          <w:trHeight w:val="20" w:hRule="atLeast"/>
        </w:trPr>
        <w:tc>
          <w:tcPr>
            <w:tcW w:w="171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Apilot</w:t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8 (926) 374-98-07</w:t>
            </w:r>
          </w:p>
        </w:tc>
        <w:tc>
          <w:tcPr>
            <w:tcW w:w="161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1 500</w:t>
            </w:r>
          </w:p>
        </w:tc>
        <w:tc>
          <w:tcPr>
            <w:tcW w:w="139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1 500</w:t>
            </w:r>
          </w:p>
        </w:tc>
        <w:tc>
          <w:tcPr>
            <w:tcW w:w="150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1 500</w:t>
            </w:r>
          </w:p>
        </w:tc>
        <w:tc>
          <w:tcPr>
            <w:tcW w:w="127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1 500</w:t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/>
            </w:pPr>
            <w:hyperlink r:id="rId20">
              <w:r>
                <w:rPr>
                  <w:rStyle w:val="ListLabel137"/>
                  <w:color w:val="0000FF"/>
                  <w:sz w:val="16"/>
                  <w:szCs w:val="16"/>
                  <w:u w:val="single"/>
                </w:rPr>
                <w:t>https://www.globalrent.ru</w:t>
              </w:r>
            </w:hyperlink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г. Москва, ул. Енисейская д.7, к3</w:t>
            </w:r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171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 xml:space="preserve">    </w:t>
            </w:r>
            <w:r>
              <w:rPr>
                <w:color w:val="282828"/>
                <w:sz w:val="16"/>
                <w:szCs w:val="16"/>
              </w:rPr>
              <w:t>Нивюс</w:t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8 (495) 620-35-36</w:t>
            </w:r>
          </w:p>
        </w:tc>
        <w:tc>
          <w:tcPr>
            <w:tcW w:w="161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1 600</w:t>
            </w:r>
          </w:p>
        </w:tc>
        <w:tc>
          <w:tcPr>
            <w:tcW w:w="139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1 600</w:t>
            </w:r>
          </w:p>
        </w:tc>
        <w:tc>
          <w:tcPr>
            <w:tcW w:w="150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1 600</w:t>
            </w:r>
          </w:p>
        </w:tc>
        <w:tc>
          <w:tcPr>
            <w:tcW w:w="127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1 600</w:t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/>
            </w:pPr>
            <w:hyperlink r:id="rId21">
              <w:r>
                <w:rPr>
                  <w:rStyle w:val="ListLabel137"/>
                  <w:color w:val="0000FF"/>
                  <w:sz w:val="16"/>
                  <w:szCs w:val="16"/>
                  <w:u w:val="single"/>
                </w:rPr>
                <w:t>https://nivus.ru/</w:t>
              </w:r>
            </w:hyperlink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г. Москва, ул. Автозаводская 16, корп. 2, стр. 16</w:t>
            </w:r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171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СТО Автодоктор</w:t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rFonts w:ascii="Arial" w:hAnsi="Arial" w:cs="Arial"/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8 (495) 969-92-98, 8 (916) 132-67-75</w:t>
            </w:r>
          </w:p>
        </w:tc>
        <w:tc>
          <w:tcPr>
            <w:tcW w:w="161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1 400</w:t>
            </w:r>
          </w:p>
        </w:tc>
        <w:tc>
          <w:tcPr>
            <w:tcW w:w="139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1 400</w:t>
            </w:r>
          </w:p>
        </w:tc>
        <w:tc>
          <w:tcPr>
            <w:tcW w:w="150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1 400</w:t>
            </w:r>
          </w:p>
        </w:tc>
        <w:tc>
          <w:tcPr>
            <w:tcW w:w="127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1 400</w:t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г. Люберцы, ул. Котельническая, д.8А</w:t>
            </w:r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/>
            </w:pPr>
            <w:hyperlink r:id="rId22">
              <w:r>
                <w:rPr>
                  <w:rStyle w:val="ListLabel138"/>
                  <w:color w:val="0000FF"/>
                  <w:sz w:val="16"/>
                  <w:szCs w:val="16"/>
                </w:rPr>
                <w:t>http://pro-pokraska.ru/</w:t>
              </w:r>
            </w:hyperlink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171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Символ</w:t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8 (495) 669-28-51</w:t>
            </w:r>
          </w:p>
        </w:tc>
        <w:tc>
          <w:tcPr>
            <w:tcW w:w="161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1 500</w:t>
            </w:r>
          </w:p>
        </w:tc>
        <w:tc>
          <w:tcPr>
            <w:tcW w:w="139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1 500</w:t>
            </w:r>
          </w:p>
        </w:tc>
        <w:tc>
          <w:tcPr>
            <w:tcW w:w="150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1 500</w:t>
            </w:r>
          </w:p>
        </w:tc>
        <w:tc>
          <w:tcPr>
            <w:tcW w:w="127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1 500</w:t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/>
            </w:pPr>
            <w:hyperlink r:id="rId23">
              <w:r>
                <w:rPr>
                  <w:rStyle w:val="ListLabel137"/>
                  <w:color w:val="0000FF"/>
                  <w:sz w:val="16"/>
                  <w:szCs w:val="16"/>
                  <w:u w:val="single"/>
                </w:rPr>
                <w:t>https://symbol-service.ru</w:t>
              </w:r>
            </w:hyperlink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 xml:space="preserve"> </w:t>
            </w:r>
            <w:r>
              <w:rPr>
                <w:color w:val="282828"/>
                <w:sz w:val="16"/>
                <w:szCs w:val="16"/>
              </w:rPr>
              <w:t>г. Москва, Каширское шоссе 67, стр 14</w:t>
            </w:r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171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Pitstop</w:t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8 (495) 724-59-75</w:t>
            </w:r>
          </w:p>
        </w:tc>
        <w:tc>
          <w:tcPr>
            <w:tcW w:w="161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1 500</w:t>
            </w:r>
          </w:p>
        </w:tc>
        <w:tc>
          <w:tcPr>
            <w:tcW w:w="139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1 500</w:t>
            </w:r>
          </w:p>
        </w:tc>
        <w:tc>
          <w:tcPr>
            <w:tcW w:w="150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1 500</w:t>
            </w:r>
          </w:p>
        </w:tc>
        <w:tc>
          <w:tcPr>
            <w:tcW w:w="127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1 500</w:t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/>
            </w:pPr>
            <w:hyperlink r:id="rId24">
              <w:r>
                <w:rPr>
                  <w:rStyle w:val="ListLabel137"/>
                  <w:color w:val="0000FF"/>
                  <w:sz w:val="16"/>
                  <w:szCs w:val="16"/>
                  <w:u w:val="single"/>
                </w:rPr>
                <w:t>https://pitstopcolor.ru</w:t>
              </w:r>
            </w:hyperlink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Москва, ул. Южнопортовая д.9</w:t>
            </w:r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45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EEEEEE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  </w:t>
            </w:r>
            <w:r>
              <w:rPr>
                <w:b/>
                <w:bCs/>
                <w:color w:val="FF0000"/>
                <w:sz w:val="16"/>
                <w:szCs w:val="16"/>
              </w:rPr>
              <w:t xml:space="preserve">Средний нормочас </w:t>
            </w:r>
          </w:p>
        </w:tc>
        <w:tc>
          <w:tcPr>
            <w:tcW w:w="1619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EEEEEE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0000"/>
                <w:sz w:val="16"/>
                <w:szCs w:val="16"/>
              </w:rPr>
            </w:pPr>
            <w:r>
              <w:rPr>
                <w:b/>
                <w:bCs/>
                <w:color w:val="FF0000"/>
                <w:sz w:val="16"/>
                <w:szCs w:val="16"/>
              </w:rPr>
              <w:t>1 500</w:t>
            </w:r>
          </w:p>
        </w:tc>
        <w:tc>
          <w:tcPr>
            <w:tcW w:w="139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EEEEEE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0000"/>
                <w:sz w:val="16"/>
                <w:szCs w:val="16"/>
              </w:rPr>
            </w:pPr>
            <w:r>
              <w:rPr>
                <w:b/>
                <w:bCs/>
                <w:color w:val="FF0000"/>
                <w:sz w:val="16"/>
                <w:szCs w:val="16"/>
              </w:rPr>
              <w:t>1 500</w:t>
            </w:r>
          </w:p>
        </w:tc>
        <w:tc>
          <w:tcPr>
            <w:tcW w:w="1508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EEEEEE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0000"/>
                <w:sz w:val="16"/>
                <w:szCs w:val="16"/>
              </w:rPr>
            </w:pPr>
            <w:r>
              <w:rPr>
                <w:b/>
                <w:bCs/>
                <w:color w:val="FF0000"/>
                <w:sz w:val="16"/>
                <w:szCs w:val="16"/>
              </w:rPr>
              <w:t>1 500</w:t>
            </w:r>
          </w:p>
        </w:tc>
        <w:tc>
          <w:tcPr>
            <w:tcW w:w="1279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EEEEEE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0000"/>
                <w:sz w:val="16"/>
                <w:szCs w:val="16"/>
              </w:rPr>
            </w:pPr>
            <w:r>
              <w:rPr>
                <w:b/>
                <w:bCs/>
                <w:color w:val="FF0000"/>
                <w:sz w:val="16"/>
                <w:szCs w:val="16"/>
              </w:rPr>
              <w:t>1 500</w:t>
            </w:r>
          </w:p>
        </w:tc>
      </w:tr>
    </w:tbl>
    <w:p>
      <w:pPr>
        <w:pStyle w:val="Normal"/>
        <w:rPr/>
      </w:pPr>
      <w:r>
        <w:rPr/>
      </w:r>
    </w:p>
    <w:p>
      <w:pPr>
        <w:pStyle w:val="Normal"/>
        <w:spacing w:before="120" w:after="0"/>
        <w:ind w:firstLine="700"/>
        <w:jc w:val="both"/>
        <w:rPr/>
      </w:pPr>
      <w:r>
        <w:rPr>
          <w:b/>
          <w:bCs/>
        </w:rPr>
        <w:t xml:space="preserve">Технология и объем необходимых ремонтных воздействий зафиксированы в калькуляции по определению стоимости восстановительного ремонта транспортного средства NISSAN Juke, регистрационный знак </w:t>
      </w:r>
      <w:r>
        <w:rPr>
          <w:b/>
          <w:bCs/>
          <w:color w:val="000000"/>
        </w:rPr>
        <w:t>********</w:t>
      </w:r>
      <w:r>
        <w:rPr>
          <w:b/>
          <w:bCs/>
          <w:color w:val="000000" w:themeColor="text1"/>
        </w:rPr>
        <w:t xml:space="preserve">, VIN </w:t>
      </w:r>
      <w:r>
        <w:rPr>
          <w:b/>
          <w:bCs/>
          <w:color w:val="000000"/>
        </w:rPr>
        <w:t>********</w:t>
      </w:r>
      <w:r>
        <w:rPr>
          <w:b/>
          <w:bCs/>
          <w:color w:val="000000" w:themeColor="text1"/>
        </w:rPr>
        <w:t xml:space="preserve"> (</w:t>
      </w:r>
      <w:r>
        <w:rPr>
          <w:b/>
          <w:bCs/>
        </w:rPr>
        <w:t>Приложение №2)</w:t>
      </w:r>
      <w:r>
        <w:rPr>
          <w:b/>
          <w:bCs/>
          <w:color w:val="000000" w:themeColor="text1"/>
        </w:rPr>
        <w:t>.</w:t>
      </w:r>
    </w:p>
    <w:p>
      <w:pPr>
        <w:pStyle w:val="Normal"/>
        <w:rPr/>
      </w:pPr>
      <w:r>
        <w:rPr/>
      </w:r>
    </w:p>
    <w:p>
      <w:pPr>
        <w:pStyle w:val="Normal"/>
        <w:jc w:val="center"/>
        <w:rPr>
          <w:u w:val="single"/>
        </w:rPr>
      </w:pPr>
      <w:r>
        <w:rPr>
          <w:u w:val="single"/>
        </w:rPr>
        <w:t>ИССЛЕДОВАНИЕ ПО ВОПРОСУ №2</w:t>
      </w:r>
    </w:p>
    <w:p>
      <w:pPr>
        <w:pStyle w:val="Normal"/>
        <w:ind w:firstLine="708"/>
        <w:jc w:val="both"/>
        <w:rPr/>
      </w:pPr>
      <w:r>
        <w:rPr/>
      </w:r>
    </w:p>
    <w:p>
      <w:pPr>
        <w:pStyle w:val="Normal"/>
        <w:ind w:firstLine="708"/>
        <w:jc w:val="both"/>
        <w:rPr/>
      </w:pPr>
      <w:r>
        <w:rPr/>
        <w:t>Под годными остатками поврежденного КТС понимаются работоспо</w:t>
        <w:softHyphen/>
        <w:t>собные, имеющие рыночную стоимость его детали, узлы и агрегаты, годные к дальнейшей эксплуатации, которые можно демонтировать с поврежденного КТС и реализовать.</w:t>
      </w:r>
    </w:p>
    <w:p>
      <w:pPr>
        <w:pStyle w:val="Normal"/>
        <w:ind w:firstLine="708"/>
        <w:jc w:val="both"/>
        <w:rPr/>
      </w:pPr>
      <w:r>
        <w:rPr/>
      </w:r>
    </w:p>
    <w:p>
      <w:pPr>
        <w:pStyle w:val="111"/>
        <w:shd w:val="clear" w:color="auto" w:fill="auto"/>
        <w:spacing w:lineRule="auto" w:line="27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Следует предполагать, что при этом должны соблюдаться требования за</w:t>
        <w:softHyphen/>
        <w:t>конодательства в части:</w:t>
      </w:r>
    </w:p>
    <w:p>
      <w:pPr>
        <w:pStyle w:val="111"/>
        <w:numPr>
          <w:ilvl w:val="0"/>
          <w:numId w:val="6"/>
        </w:numPr>
        <w:shd w:val="clear" w:color="auto" w:fill="auto"/>
        <w:tabs>
          <w:tab w:val="clear" w:pos="708"/>
          <w:tab w:val="left" w:pos="298" w:leader="none"/>
        </w:tabs>
        <w:spacing w:lineRule="auto" w:line="268"/>
        <w:ind w:hanging="300"/>
        <w:jc w:val="both"/>
        <w:rPr>
          <w:sz w:val="24"/>
          <w:szCs w:val="24"/>
        </w:rPr>
      </w:pPr>
      <w:r>
        <w:rPr>
          <w:sz w:val="24"/>
          <w:szCs w:val="24"/>
        </w:rPr>
        <w:t>изменения права собственности на транспортное средство, к которому относятся демонтированные составные части;</w:t>
      </w:r>
    </w:p>
    <w:p>
      <w:pPr>
        <w:pStyle w:val="111"/>
        <w:numPr>
          <w:ilvl w:val="0"/>
          <w:numId w:val="6"/>
        </w:numPr>
        <w:shd w:val="clear" w:color="auto" w:fill="auto"/>
        <w:tabs>
          <w:tab w:val="clear" w:pos="708"/>
          <w:tab w:val="left" w:pos="298" w:leader="none"/>
        </w:tabs>
        <w:spacing w:lineRule="auto" w:line="276"/>
        <w:ind w:hanging="300"/>
        <w:jc w:val="both"/>
        <w:rPr>
          <w:sz w:val="24"/>
          <w:szCs w:val="24"/>
        </w:rPr>
      </w:pPr>
      <w:r>
        <w:rPr>
          <w:sz w:val="24"/>
          <w:szCs w:val="24"/>
        </w:rPr>
        <w:t>экологической безопасности и организационных процедур в соответствии с Федеральным законом от 24.06.1998 № 89-ФЗ «Об отходах производства и потребления»;</w:t>
      </w:r>
    </w:p>
    <w:p>
      <w:pPr>
        <w:pStyle w:val="111"/>
        <w:numPr>
          <w:ilvl w:val="0"/>
          <w:numId w:val="6"/>
        </w:numPr>
        <w:shd w:val="clear" w:color="auto" w:fill="auto"/>
        <w:tabs>
          <w:tab w:val="clear" w:pos="708"/>
          <w:tab w:val="left" w:pos="298" w:leader="none"/>
        </w:tabs>
        <w:spacing w:lineRule="auto" w:line="264"/>
        <w:ind w:hanging="3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процесса реализации годных остатков как процедуры по их отчуждению и </w:t>
      </w:r>
      <w:r>
        <w:rPr>
          <w:i/>
          <w:iCs/>
          <w:sz w:val="24"/>
          <w:szCs w:val="24"/>
        </w:rPr>
        <w:t>с</w:t>
      </w:r>
      <w:r>
        <w:rPr>
          <w:sz w:val="24"/>
          <w:szCs w:val="24"/>
        </w:rPr>
        <w:t xml:space="preserve"> точки зрения соблюдения налогового законодательства.</w:t>
      </w:r>
    </w:p>
    <w:p>
      <w:pPr>
        <w:pStyle w:val="111"/>
        <w:shd w:val="clear" w:color="auto" w:fill="auto"/>
        <w:spacing w:lineRule="auto" w:line="264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Под стоимостью годных остатков понимается наиболее вероятная стои</w:t>
        <w:softHyphen/>
        <w:t>мость, по которой они могут быть реализованы, учитывая затраты на их де</w:t>
        <w:softHyphen/>
        <w:t>монтаж, дефектовку, диагностику (при необходимости), хранение и органи</w:t>
        <w:softHyphen/>
        <w:t>зацию продажи.</w:t>
      </w:r>
    </w:p>
    <w:p>
      <w:pPr>
        <w:pStyle w:val="Normal"/>
        <w:ind w:firstLine="708"/>
        <w:jc w:val="both"/>
        <w:rPr/>
      </w:pPr>
      <w:r>
        <w:rPr/>
        <w:t>К годным остаткам могут быть отнесены:</w:t>
      </w:r>
    </w:p>
    <w:p>
      <w:pPr>
        <w:pStyle w:val="Normal"/>
        <w:ind w:firstLine="708"/>
        <w:jc w:val="both"/>
        <w:rPr/>
      </w:pPr>
      <w:r>
        <w:rPr/>
        <w:t>- рама (подрамники), навесные составные части кузова в сборе: капот, две</w:t>
        <w:softHyphen/>
        <w:t>ри, крышка багажника (дверь задка), детали оперения (крылья съемные), а также бамперы (передний и задний), стекло проемов окон;</w:t>
      </w:r>
    </w:p>
    <w:p>
      <w:pPr>
        <w:pStyle w:val="Normal"/>
        <w:ind w:firstLine="708"/>
        <w:jc w:val="both"/>
        <w:rPr/>
      </w:pPr>
      <w:r>
        <w:rPr/>
        <w:t>- составные части привода и ходовой части (двигатель, коробка передач, мосты и т. д.) КТС;</w:t>
      </w:r>
    </w:p>
    <w:p>
      <w:pPr>
        <w:pStyle w:val="Normal"/>
        <w:ind w:firstLine="708"/>
        <w:jc w:val="both"/>
        <w:rPr/>
      </w:pPr>
      <w:r>
        <w:rPr/>
        <w:t>- шины пневматические в комплекте на два или четыре колеса, эксплуатация которых допускается действующими нормами и правилами, колеса в сборе;</w:t>
      </w:r>
    </w:p>
    <w:p>
      <w:pPr>
        <w:pStyle w:val="Normal"/>
        <w:ind w:firstLine="708"/>
        <w:jc w:val="both"/>
        <w:rPr/>
      </w:pPr>
      <w:r>
        <w:rPr/>
        <w:t>- приборы и оборудование КТС.</w:t>
      </w:r>
    </w:p>
    <w:p>
      <w:pPr>
        <w:pStyle w:val="Normal"/>
        <w:ind w:firstLine="708"/>
        <w:jc w:val="both"/>
        <w:rPr/>
      </w:pPr>
      <w:r>
        <w:rPr/>
        <w:t>Узлы, агрегаты, приборы и оборудование следует считать работоспособ</w:t>
        <w:softHyphen/>
        <w:t>ными при выполнении нижеперечисленных условий, если иное не будет уста</w:t>
        <w:softHyphen/>
        <w:t>новлено их диагностикой или дефектовкой:</w:t>
      </w:r>
    </w:p>
    <w:p>
      <w:pPr>
        <w:pStyle w:val="Normal"/>
        <w:ind w:firstLine="708"/>
        <w:jc w:val="both"/>
        <w:rPr/>
      </w:pPr>
      <w:r>
        <w:rPr/>
        <w:t>- они расположены вне зоны аварийного контакта;</w:t>
      </w:r>
    </w:p>
    <w:p>
      <w:pPr>
        <w:pStyle w:val="Normal"/>
        <w:ind w:firstLine="708"/>
        <w:jc w:val="both"/>
        <w:rPr/>
      </w:pPr>
      <w:r>
        <w:rPr/>
        <w:t>- они не имеют следов аварийного контакта и ремонтных воздействий;</w:t>
      </w:r>
    </w:p>
    <w:p>
      <w:pPr>
        <w:pStyle w:val="Normal"/>
        <w:ind w:firstLine="708"/>
        <w:jc w:val="both"/>
        <w:rPr/>
      </w:pPr>
      <w:r>
        <w:rPr/>
        <w:t>- отсутствуют признаки технической неисправности или неработоспособ</w:t>
        <w:softHyphen/>
        <w:t>ности, например, в виде подтеков рабочих жидкостей, ощутимых недопу</w:t>
        <w:softHyphen/>
        <w:t>стимых люфтов в соединении и т. д.</w:t>
      </w:r>
    </w:p>
    <w:p>
      <w:pPr>
        <w:pStyle w:val="Normal"/>
        <w:ind w:firstLine="708"/>
        <w:jc w:val="both"/>
        <w:rPr/>
      </w:pPr>
      <w:r>
        <w:rPr/>
      </w:r>
    </w:p>
    <w:p>
      <w:pPr>
        <w:pStyle w:val="Normal"/>
        <w:ind w:firstLine="708"/>
        <w:jc w:val="both"/>
        <w:rPr>
          <w:i/>
          <w:i/>
          <w:u w:val="single"/>
        </w:rPr>
      </w:pPr>
      <w:r>
        <w:rPr>
          <w:i/>
          <w:u w:val="single"/>
        </w:rPr>
        <w:t>К годным остаткам не могут быть отнесены составные части:</w:t>
      </w:r>
    </w:p>
    <w:p>
      <w:pPr>
        <w:pStyle w:val="Normal"/>
        <w:ind w:firstLine="708"/>
        <w:jc w:val="both"/>
        <w:rPr>
          <w:u w:val="single"/>
        </w:rPr>
      </w:pPr>
      <w:r>
        <w:rPr>
          <w:u w:val="single"/>
        </w:rPr>
        <w:t>- демонтаж которых требует работ, связанных с применением газосвароч</w:t>
        <w:softHyphen/>
        <w:t>ного и электродугового резания;</w:t>
      </w:r>
    </w:p>
    <w:p>
      <w:pPr>
        <w:pStyle w:val="Normal"/>
        <w:ind w:firstLine="708"/>
        <w:jc w:val="both"/>
        <w:rPr>
          <w:u w:val="single"/>
        </w:rPr>
      </w:pPr>
      <w:r>
        <w:rPr>
          <w:u w:val="single"/>
        </w:rPr>
        <w:t>- имеющие изменения конструкции, формы, нарушения целостности, не предусмотренные изготовителем КТС (например, дополнительные отвер</w:t>
        <w:softHyphen/>
        <w:t>стия и вырезы для крепления несерийного оборудования);</w:t>
      </w:r>
    </w:p>
    <w:p>
      <w:pPr>
        <w:pStyle w:val="Normal"/>
        <w:ind w:firstLine="708"/>
        <w:jc w:val="both"/>
        <w:rPr>
          <w:u w:val="single"/>
        </w:rPr>
      </w:pPr>
      <w:r>
        <w:rPr>
          <w:u w:val="single"/>
        </w:rPr>
        <w:t>- подвергавшиеся ранее ремонтным воздействиям (например, правке, рих</w:t>
        <w:softHyphen/>
        <w:t>товке, шпатлеванию и т. д.);</w:t>
      </w:r>
    </w:p>
    <w:p>
      <w:pPr>
        <w:pStyle w:val="Normal"/>
        <w:ind w:firstLine="708"/>
        <w:jc w:val="both"/>
        <w:rPr>
          <w:u w:val="single"/>
        </w:rPr>
      </w:pPr>
      <w:r>
        <w:rPr>
          <w:u w:val="single"/>
        </w:rPr>
        <w:t>- влияющие на безопасность дорожного движения. Номенклатура таких со</w:t>
        <w:softHyphen/>
        <w:t>ставных частей приведена в приложении 2.6 к настоящим Методическим рекомендациям.</w:t>
      </w:r>
    </w:p>
    <w:p>
      <w:pPr>
        <w:pStyle w:val="Normal"/>
        <w:ind w:firstLine="708"/>
        <w:jc w:val="both"/>
        <w:rPr>
          <w:u w:val="single"/>
        </w:rPr>
      </w:pPr>
      <w:r>
        <w:rPr>
          <w:u w:val="single"/>
        </w:rPr>
        <w:t>-имеющие коррозионные повреждения;</w:t>
      </w:r>
    </w:p>
    <w:p>
      <w:pPr>
        <w:pStyle w:val="Normal"/>
        <w:ind w:firstLine="708"/>
        <w:jc w:val="both"/>
        <w:rPr>
          <w:u w:val="single"/>
        </w:rPr>
      </w:pPr>
      <w:r>
        <w:rPr>
          <w:u w:val="single"/>
        </w:rPr>
        <w:t>- требующие ремонта.</w:t>
      </w:r>
    </w:p>
    <w:p>
      <w:pPr>
        <w:pStyle w:val="Normal"/>
        <w:ind w:firstLine="708"/>
        <w:jc w:val="both"/>
        <w:rPr/>
      </w:pPr>
      <w:r>
        <w:rPr/>
      </w:r>
    </w:p>
    <w:p>
      <w:pPr>
        <w:pStyle w:val="Normal"/>
        <w:ind w:firstLine="708"/>
        <w:jc w:val="both"/>
        <w:rPr/>
      </w:pPr>
      <w:r>
        <w:rPr/>
        <w:t>Стоимость годных остатков при правоотношениях, регулируемых законодательством об ОСАГО, определяется, в случае полной гибели КТС, в порядке, установленном Банком России, основные положения которого из</w:t>
        <w:softHyphen/>
        <w:t>ложены в Единой методике.</w:t>
      </w:r>
    </w:p>
    <w:p>
      <w:pPr>
        <w:pStyle w:val="Normal"/>
        <w:ind w:firstLine="708"/>
        <w:jc w:val="both"/>
        <w:rPr/>
      </w:pPr>
      <w:r>
        <w:rPr/>
        <w:t>Если определение годных остатков КТС является экспертной задачей, по</w:t>
        <w:softHyphen/>
        <w:t>ставленной вне законодательного поля об ОСАГО, расчет их стоимости про</w:t>
        <w:softHyphen/>
        <w:t>изводится в соответствии с требованиями данных Методических рекоменда</w:t>
        <w:softHyphen/>
        <w:t>ций.</w:t>
      </w:r>
    </w:p>
    <w:p>
      <w:pPr>
        <w:pStyle w:val="Normal"/>
        <w:ind w:firstLine="708"/>
        <w:jc w:val="both"/>
        <w:rPr/>
      </w:pPr>
      <w:r>
        <w:rPr/>
        <w:t>Стоимость годных остатков может быть определена по данным спе</w:t>
        <w:softHyphen/>
        <w:t>циализированных торгов, осуществляющих открытую публичную реализа</w:t>
        <w:softHyphen/>
        <w:t>цию поврежденных КТС без их разборки и вычленения годных остатков.</w:t>
      </w:r>
    </w:p>
    <w:p>
      <w:pPr>
        <w:pStyle w:val="Normal"/>
        <w:ind w:firstLine="708"/>
        <w:jc w:val="both"/>
        <w:rPr/>
      </w:pPr>
      <w:r>
        <w:rPr/>
        <w:t>В отсутствие специализированных торгов допускается использование и обработка данных универсальных площадок (сайтов в информационно-теле</w:t>
        <w:softHyphen/>
        <w:t>коммуникационной сети Интернет) по продаже подержанных КТС, в том числе и в аварийном состоянии. Ценовые данные универсальных площадок могут быть использованы, если на них представлено не менее трех аналогич</w:t>
        <w:softHyphen/>
        <w:t>ных КТС с примерно аналогичными повреждениями.</w:t>
      </w:r>
    </w:p>
    <w:p>
      <w:pPr>
        <w:pStyle w:val="Normal"/>
        <w:ind w:firstLine="708"/>
        <w:jc w:val="both"/>
        <w:rPr/>
      </w:pPr>
      <w:r>
        <w:rPr/>
        <w:t>При отсутствии возможности реализации КТС в аварийном состоянии вышеприведенными способами определение стоимости годных остатков про</w:t>
        <w:softHyphen/>
        <w:t>водится расчетным методом.</w:t>
      </w:r>
    </w:p>
    <w:p>
      <w:pPr>
        <w:pStyle w:val="Normal"/>
        <w:ind w:firstLine="708"/>
        <w:jc w:val="both"/>
        <w:rPr/>
      </w:pPr>
      <w:r>
        <w:rPr/>
        <w:t>В настоящее время отсутствует возможность реализации КТС в аварийном состоянии по данным специализированных торгов, осуществляющих открытую публичную реализацию поврежденных КТС, так как все специализированные торги являются закрытыми. Расчет стоимости годных остатков произведен экспертным методом.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spacing w:lineRule="auto" w:line="264" w:before="0" w:after="80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Расчет стоимости годных остатков расчетным методом вне сферы применения законодательства об ОСАГО определяется с учетом затрат на их демонтаж, дефектовку, хранение и продажу по формуле:</w:t>
      </w:r>
    </w:p>
    <w:p>
      <w:pPr>
        <w:pStyle w:val="Normal"/>
        <w:ind w:right="310" w:firstLine="708"/>
        <w:jc w:val="center"/>
        <w:rPr/>
      </w:pPr>
      <w:r>
        <w:rPr/>
        <w:drawing>
          <wp:inline distT="0" distB="0" distL="0" distR="1905">
            <wp:extent cx="3408045" cy="656590"/>
            <wp:effectExtent l="0" t="0" r="0" b="0"/>
            <wp:docPr id="18" name="Рисунок 4" descr="2022-01-05_103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4" descr="2022-01-05_10305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45" cy="65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08"/>
        <w:jc w:val="both"/>
        <w:rPr/>
      </w:pPr>
      <w:r>
        <w:rPr/>
        <w:t>Где:</w:t>
      </w:r>
    </w:p>
    <w:p>
      <w:pPr>
        <w:pStyle w:val="Normal"/>
        <w:ind w:firstLine="708"/>
        <w:jc w:val="both"/>
        <w:rPr/>
      </w:pPr>
      <w:r>
        <w:rPr/>
        <w:t>С</w:t>
      </w:r>
      <w:r>
        <w:rPr>
          <w:vertAlign w:val="subscript"/>
        </w:rPr>
        <w:t>ктс</w:t>
      </w:r>
      <w:r>
        <w:rPr/>
        <w:t xml:space="preserve"> - стоимость КТС в неповрежденном виде на момент определения стоимости годных остатков;</w:t>
      </w:r>
    </w:p>
    <w:p>
      <w:pPr>
        <w:pStyle w:val="Normal"/>
        <w:ind w:firstLine="708"/>
        <w:jc w:val="both"/>
        <w:rPr/>
      </w:pPr>
      <w:r>
        <w:rPr/>
        <w:t>K</w:t>
      </w:r>
      <w:r>
        <w:rPr>
          <w:vertAlign w:val="subscript"/>
        </w:rPr>
        <w:t>з</w:t>
      </w:r>
      <w:r>
        <w:rPr/>
        <w:t xml:space="preserve"> - коэффициент, учитывающий затраты на разборку, дефектовку, хране</w:t>
        <w:softHyphen/>
        <w:t>ние, продажу;</w:t>
      </w:r>
    </w:p>
    <w:p>
      <w:pPr>
        <w:pStyle w:val="Normal"/>
        <w:ind w:firstLine="708"/>
        <w:jc w:val="both"/>
        <w:rPr/>
      </w:pPr>
      <w:r>
        <w:rPr/>
        <w:t>K</w:t>
      </w:r>
      <w:r>
        <w:rPr>
          <w:vertAlign w:val="subscript"/>
        </w:rPr>
        <w:t>в</w:t>
      </w:r>
      <w:r>
        <w:rPr/>
        <w:t xml:space="preserve"> - коэффициент, учитывающий срок эксплуатации КТС на момент по</w:t>
        <w:softHyphen/>
        <w:t>вреждения и спрос на его неповрежденные детали;</w:t>
      </w:r>
    </w:p>
    <w:p>
      <w:pPr>
        <w:pStyle w:val="Normal"/>
        <w:ind w:firstLine="708"/>
        <w:jc w:val="both"/>
        <w:rPr/>
      </w:pPr>
      <w:r>
        <w:rPr/>
        <w:t>K</w:t>
      </w:r>
      <w:r>
        <w:rPr>
          <w:vertAlign w:val="subscript"/>
        </w:rPr>
        <w:t>оп</w:t>
      </w:r>
      <w:r>
        <w:rPr/>
        <w:t xml:space="preserve"> - коэффициент, учитывающий объем (степень) механических повреждений транспортного средства;</w:t>
      </w:r>
    </w:p>
    <w:p>
      <w:pPr>
        <w:pStyle w:val="Normal"/>
        <w:ind w:firstLine="708"/>
        <w:jc w:val="both"/>
        <w:rPr/>
      </w:pPr>
      <w:r>
        <w:rPr/>
        <w:t>C</w:t>
      </w:r>
      <w:r>
        <w:rPr>
          <w:vertAlign w:val="subscript"/>
        </w:rPr>
        <w:t>i</w:t>
      </w:r>
      <w:r>
        <w:rPr/>
        <w:t xml:space="preserve"> - процентное соотношение (вес) стоимости неповрежденных составных частей КТС, %;</w:t>
      </w:r>
    </w:p>
    <w:p>
      <w:pPr>
        <w:pStyle w:val="Normal"/>
        <w:ind w:firstLine="708"/>
        <w:jc w:val="both"/>
        <w:rPr/>
      </w:pPr>
      <w:r>
        <w:rPr>
          <w:lang w:val="en-US"/>
        </w:rPr>
        <w:t>n</w:t>
      </w:r>
      <w:r>
        <w:rPr/>
        <w:t>- количество неповрежденных составных частей.</w:t>
      </w:r>
    </w:p>
    <w:p>
      <w:pPr>
        <w:pStyle w:val="Normal"/>
        <w:ind w:firstLine="708"/>
        <w:jc w:val="both"/>
        <w:rPr/>
      </w:pPr>
      <w:r>
        <w:rPr/>
      </w:r>
    </w:p>
    <w:p>
      <w:pPr>
        <w:pStyle w:val="Normal"/>
        <w:ind w:firstLine="708"/>
        <w:jc w:val="both"/>
        <w:rPr/>
      </w:pPr>
      <w:r>
        <w:rPr/>
        <w:t>При частичном повреждении группы деталей (например, подвеска передняя),эксперт должен принять значение C</w:t>
      </w:r>
      <w:r>
        <w:rPr>
          <w:vertAlign w:val="subscript"/>
        </w:rPr>
        <w:t>i</w:t>
      </w:r>
      <w:r>
        <w:rPr/>
        <w:t xml:space="preserve"> пропорционально объему этих повреждений.</w:t>
      </w:r>
    </w:p>
    <w:p>
      <w:pPr>
        <w:pStyle w:val="Normal"/>
        <w:ind w:firstLine="708"/>
        <w:jc w:val="both"/>
        <w:rPr/>
      </w:pPr>
      <w:r>
        <w:rPr/>
      </w:r>
    </w:p>
    <w:p>
      <w:pPr>
        <w:pStyle w:val="Normal"/>
        <w:ind w:firstLine="708"/>
        <w:jc w:val="both"/>
        <w:rPr/>
      </w:pPr>
      <w:r>
        <w:rPr/>
        <w:t xml:space="preserve"> </w:t>
      </w:r>
      <w:r>
        <w:rPr/>
        <w:t>Коэффициент снижения стоимости годных остатков КТС, учитывающий затраты на разборку, дефектовку, хранение, продажу (K</w:t>
      </w:r>
      <w:r>
        <w:rPr>
          <w:vertAlign w:val="subscript"/>
        </w:rPr>
        <w:t>з</w:t>
      </w:r>
      <w:r>
        <w:rPr/>
        <w:t>) рекомендуется при</w:t>
        <w:softHyphen/>
        <w:t>нимать равным 0,7 для легковых автомобилей, малотоннажных грузовых на базе легковых и мототехники, и равным 0,6 для грузовых автомобилей.</w:t>
      </w:r>
    </w:p>
    <w:p>
      <w:pPr>
        <w:pStyle w:val="111"/>
        <w:shd w:val="clear" w:color="auto" w:fill="auto"/>
        <w:spacing w:lineRule="auto" w:line="264"/>
        <w:ind w:firstLine="320"/>
        <w:jc w:val="both"/>
        <w:rPr/>
      </w:pPr>
      <w:r>
        <w:rPr/>
      </w:r>
    </w:p>
    <w:p>
      <w:pPr>
        <w:pStyle w:val="Normal"/>
        <w:ind w:firstLine="708"/>
        <w:jc w:val="both"/>
        <w:rPr/>
      </w:pPr>
      <w:r>
        <w:rPr/>
        <w:t>Величина коэффициента K</w:t>
      </w:r>
      <w:r>
        <w:rPr>
          <w:vertAlign w:val="subscript"/>
        </w:rPr>
        <w:t>в</w:t>
      </w:r>
      <w:r>
        <w:rPr/>
        <w:t>, учитывающего срок эксплуатации КТС на мо</w:t>
        <w:softHyphen/>
        <w:t>мент определения стоимости годных остатков, а также спрос на неповрежден</w:t>
        <w:softHyphen/>
        <w:t>ные детали определяется согласно таблице 6.</w:t>
      </w:r>
    </w:p>
    <w:p>
      <w:pPr>
        <w:pStyle w:val="Normal"/>
        <w:ind w:firstLine="708"/>
        <w:jc w:val="right"/>
        <w:rPr/>
      </w:pPr>
      <w:r>
        <w:rPr/>
        <w:t>Таблица 6</w:t>
      </w:r>
    </w:p>
    <w:tbl>
      <w:tblPr>
        <w:tblW w:w="10318" w:type="dxa"/>
        <w:jc w:val="center"/>
        <w:tblInd w:w="0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1e0" w:noVBand="0" w:noHBand="0" w:lastColumn="1" w:firstColumn="1" w:lastRow="1" w:firstRow="1"/>
      </w:tblPr>
      <w:tblGrid>
        <w:gridCol w:w="4237"/>
        <w:gridCol w:w="3860"/>
        <w:gridCol w:w="2221"/>
      </w:tblGrid>
      <w:tr>
        <w:trPr>
          <w:trHeight w:val="985" w:hRule="exact"/>
        </w:trPr>
        <w:tc>
          <w:tcPr>
            <w:tcW w:w="423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  <w:vAlign w:val="cente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12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Срок эксплуатации автомобиля, лет</w:t>
            </w:r>
          </w:p>
        </w:tc>
        <w:tc>
          <w:tcPr>
            <w:tcW w:w="3860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  <w:vAlign w:val="cente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12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Значение К</w:t>
            </w:r>
            <w:r>
              <w:rPr>
                <w:sz w:val="24"/>
                <w:szCs w:val="24"/>
                <w:vertAlign w:val="subscript"/>
              </w:rPr>
              <w:t xml:space="preserve">в  </w:t>
            </w:r>
            <w:r>
              <w:rPr>
                <w:bCs/>
                <w:sz w:val="24"/>
                <w:szCs w:val="24"/>
              </w:rPr>
              <w:t>легковых автомоби</w:t>
              <w:softHyphen/>
              <w:t>лей, малотоннажных грузовых на базе легковых и мототехники</w:t>
            </w:r>
          </w:p>
        </w:tc>
        <w:tc>
          <w:tcPr>
            <w:tcW w:w="2221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  <w:vAlign w:val="cente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120"/>
              <w:ind w:hanging="0"/>
              <w:jc w:val="center"/>
              <w:rPr>
                <w:sz w:val="24"/>
                <w:szCs w:val="24"/>
                <w:vertAlign w:val="subscript"/>
              </w:rPr>
            </w:pPr>
            <w:r>
              <w:rPr>
                <w:bCs/>
                <w:sz w:val="24"/>
                <w:szCs w:val="24"/>
              </w:rPr>
              <w:t xml:space="preserve">Значение </w:t>
            </w:r>
            <w:r>
              <w:rPr>
                <w:sz w:val="24"/>
                <w:szCs w:val="24"/>
              </w:rPr>
              <w:t>К</w:t>
            </w:r>
            <w:r>
              <w:rPr>
                <w:sz w:val="24"/>
                <w:szCs w:val="24"/>
                <w:vertAlign w:val="subscript"/>
              </w:rPr>
              <w:t>в</w:t>
            </w:r>
            <w:r>
              <w:rPr>
                <w:bCs/>
                <w:sz w:val="24"/>
                <w:szCs w:val="24"/>
              </w:rPr>
              <w:t xml:space="preserve"> грузовых автомобилей</w:t>
            </w:r>
          </w:p>
        </w:tc>
      </w:tr>
      <w:tr>
        <w:trPr>
          <w:trHeight w:val="284" w:hRule="exact"/>
        </w:trPr>
        <w:tc>
          <w:tcPr>
            <w:tcW w:w="423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12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0-5 (включительно)</w:t>
            </w:r>
          </w:p>
        </w:tc>
        <w:tc>
          <w:tcPr>
            <w:tcW w:w="3860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12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0,80</w:t>
            </w:r>
          </w:p>
        </w:tc>
        <w:tc>
          <w:tcPr>
            <w:tcW w:w="2221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12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0,80</w:t>
            </w:r>
          </w:p>
        </w:tc>
      </w:tr>
      <w:tr>
        <w:trPr>
          <w:trHeight w:val="284" w:hRule="exact"/>
        </w:trPr>
        <w:tc>
          <w:tcPr>
            <w:tcW w:w="423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12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6-10 (включительно)</w:t>
            </w:r>
          </w:p>
        </w:tc>
        <w:tc>
          <w:tcPr>
            <w:tcW w:w="3860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12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0,65</w:t>
            </w:r>
          </w:p>
        </w:tc>
        <w:tc>
          <w:tcPr>
            <w:tcW w:w="2221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12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0,60</w:t>
            </w:r>
          </w:p>
        </w:tc>
      </w:tr>
      <w:tr>
        <w:trPr>
          <w:trHeight w:val="284" w:hRule="exact"/>
        </w:trPr>
        <w:tc>
          <w:tcPr>
            <w:tcW w:w="423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12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11-15 (включительно)</w:t>
            </w:r>
          </w:p>
        </w:tc>
        <w:tc>
          <w:tcPr>
            <w:tcW w:w="3860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12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0,55</w:t>
            </w:r>
          </w:p>
        </w:tc>
        <w:tc>
          <w:tcPr>
            <w:tcW w:w="2221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12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0,50</w:t>
            </w:r>
          </w:p>
        </w:tc>
      </w:tr>
      <w:tr>
        <w:trPr>
          <w:trHeight w:val="284" w:hRule="exact"/>
        </w:trPr>
        <w:tc>
          <w:tcPr>
            <w:tcW w:w="423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12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16-20 (включительно)</w:t>
            </w:r>
          </w:p>
        </w:tc>
        <w:tc>
          <w:tcPr>
            <w:tcW w:w="3860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12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0,40</w:t>
            </w:r>
          </w:p>
        </w:tc>
        <w:tc>
          <w:tcPr>
            <w:tcW w:w="2221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12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0,35</w:t>
            </w:r>
          </w:p>
        </w:tc>
      </w:tr>
      <w:tr>
        <w:trPr>
          <w:trHeight w:val="284" w:hRule="exact"/>
        </w:trPr>
        <w:tc>
          <w:tcPr>
            <w:tcW w:w="423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12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Более 20 лет</w:t>
            </w:r>
          </w:p>
        </w:tc>
        <w:tc>
          <w:tcPr>
            <w:tcW w:w="3860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12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0,35</w:t>
            </w:r>
          </w:p>
        </w:tc>
        <w:tc>
          <w:tcPr>
            <w:tcW w:w="2221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12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0,30</w:t>
            </w:r>
          </w:p>
        </w:tc>
      </w:tr>
    </w:tbl>
    <w:p>
      <w:pPr>
        <w:pStyle w:val="Normal"/>
        <w:ind w:firstLine="708"/>
        <w:jc w:val="both"/>
        <w:rPr/>
      </w:pPr>
      <w:r>
        <w:rPr/>
      </w:r>
    </w:p>
    <w:p>
      <w:pPr>
        <w:pStyle w:val="Normal"/>
        <w:ind w:firstLine="708"/>
        <w:jc w:val="both"/>
        <w:rPr/>
      </w:pPr>
      <w:r>
        <w:rPr/>
        <w:t xml:space="preserve"> </w:t>
      </w:r>
      <w:r>
        <w:rPr/>
        <w:t>Величина коэффициента, учитывающего объем (степень) механических повреждений транспортного средства (К</w:t>
      </w:r>
      <w:r>
        <w:rPr>
          <w:vertAlign w:val="subscript"/>
        </w:rPr>
        <w:t>оп</w:t>
      </w:r>
      <w:r>
        <w:rPr/>
        <w:t>), а также процентное соотношение (вес) стоимости неповрежденных элементов к стоимости транспортного средства (С</w:t>
      </w:r>
      <w:r>
        <w:rPr>
          <w:vertAlign w:val="subscript"/>
        </w:rPr>
        <w:t>i</w:t>
      </w:r>
      <w:r>
        <w:rPr/>
        <w:t>) определяются согласно таблице 7.</w:t>
      </w:r>
    </w:p>
    <w:p>
      <w:pPr>
        <w:pStyle w:val="Style37"/>
        <w:tabs>
          <w:tab w:val="clear" w:pos="284"/>
          <w:tab w:val="left" w:pos="708" w:leader="none"/>
        </w:tabs>
        <w:spacing w:lineRule="auto" w:line="360"/>
        <w:ind w:firstLine="720"/>
        <w:jc w:val="right"/>
        <w:rPr>
          <w:sz w:val="24"/>
          <w:szCs w:val="24"/>
        </w:rPr>
      </w:pPr>
      <w:r>
        <w:rPr>
          <w:sz w:val="24"/>
          <w:szCs w:val="24"/>
        </w:rPr>
        <w:t>Таблица 7</w:t>
      </w:r>
    </w:p>
    <w:tbl>
      <w:tblPr>
        <w:tblW w:w="10314" w:type="dxa"/>
        <w:jc w:val="left"/>
        <w:tblInd w:w="0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1e0" w:noVBand="0" w:noHBand="0" w:lastColumn="1" w:firstColumn="1" w:lastRow="1" w:firstRow="1"/>
      </w:tblPr>
      <w:tblGrid>
        <w:gridCol w:w="2432"/>
        <w:gridCol w:w="3435"/>
        <w:gridCol w:w="1742"/>
        <w:gridCol w:w="2704"/>
      </w:tblGrid>
      <w:tr>
        <w:trPr>
          <w:trHeight w:val="340" w:hRule="atLeast"/>
        </w:trPr>
        <w:tc>
          <w:tcPr>
            <w:tcW w:w="243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  <w:vAlign w:val="cente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Объём механических повреждений</w:t>
            </w:r>
          </w:p>
        </w:tc>
        <w:tc>
          <w:tcPr>
            <w:tcW w:w="3435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  <w:vAlign w:val="cente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Процентное соотношение стоимости неповрежденных элементов к стоимости КТС С</w:t>
            </w:r>
            <w:r>
              <w:rPr>
                <w:sz w:val="22"/>
                <w:szCs w:val="22"/>
                <w:vertAlign w:val="subscript"/>
                <w:lang w:val="en-US"/>
              </w:rPr>
              <w:t>i</w:t>
            </w:r>
            <w:r>
              <w:rPr>
                <w:sz w:val="22"/>
                <w:szCs w:val="22"/>
              </w:rPr>
              <w:t>, %.</w:t>
            </w:r>
          </w:p>
        </w:tc>
        <w:tc>
          <w:tcPr>
            <w:tcW w:w="4446" w:type="dxa"/>
            <w:gridSpan w:val="2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  <w:vAlign w:val="cente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10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Значение коэффициента, учитывающего объём механических повреждений</w:t>
            </w:r>
          </w:p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10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</w:t>
            </w:r>
            <w:r>
              <w:rPr>
                <w:sz w:val="22"/>
                <w:szCs w:val="22"/>
                <w:vertAlign w:val="subscript"/>
              </w:rPr>
              <w:t>оп</w:t>
            </w:r>
          </w:p>
        </w:tc>
      </w:tr>
      <w:tr>
        <w:trPr>
          <w:trHeight w:val="362" w:hRule="exact"/>
        </w:trPr>
        <w:tc>
          <w:tcPr>
            <w:tcW w:w="2432" w:type="dxa"/>
            <w:vMerge w:val="restart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Незначительный</w:t>
            </w:r>
          </w:p>
        </w:tc>
        <w:tc>
          <w:tcPr>
            <w:tcW w:w="3435" w:type="dxa"/>
            <w:vMerge w:val="restart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80-100</w:t>
            </w:r>
          </w:p>
        </w:tc>
        <w:tc>
          <w:tcPr>
            <w:tcW w:w="174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Интервал</w:t>
            </w:r>
          </w:p>
        </w:tc>
        <w:tc>
          <w:tcPr>
            <w:tcW w:w="270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0,9-1</w:t>
            </w:r>
          </w:p>
        </w:tc>
      </w:tr>
      <w:tr>
        <w:trPr>
          <w:trHeight w:val="281" w:hRule="exact"/>
        </w:trPr>
        <w:tc>
          <w:tcPr>
            <w:tcW w:w="2432" w:type="dxa"/>
            <w:vMerge w:val="continue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rFonts w:eastAsia="MS Sans Serif"/>
                <w:sz w:val="22"/>
                <w:szCs w:val="22"/>
              </w:rPr>
            </w:pPr>
            <w:r>
              <w:rPr>
                <w:rFonts w:eastAsia="MS Sans Serif"/>
                <w:sz w:val="22"/>
                <w:szCs w:val="22"/>
              </w:rPr>
            </w:r>
          </w:p>
        </w:tc>
        <w:tc>
          <w:tcPr>
            <w:tcW w:w="3435" w:type="dxa"/>
            <w:vMerge w:val="continue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rFonts w:eastAsia="MS Sans Serif"/>
                <w:sz w:val="22"/>
                <w:szCs w:val="22"/>
              </w:rPr>
            </w:pPr>
            <w:r>
              <w:rPr>
                <w:rFonts w:eastAsia="MS Sans Serif"/>
                <w:sz w:val="22"/>
                <w:szCs w:val="22"/>
              </w:rPr>
            </w:r>
          </w:p>
        </w:tc>
        <w:tc>
          <w:tcPr>
            <w:tcW w:w="174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Среднее</w:t>
            </w:r>
          </w:p>
        </w:tc>
        <w:tc>
          <w:tcPr>
            <w:tcW w:w="270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0,95</w:t>
            </w:r>
          </w:p>
        </w:tc>
      </w:tr>
      <w:tr>
        <w:trPr>
          <w:trHeight w:val="286" w:hRule="exact"/>
        </w:trPr>
        <w:tc>
          <w:tcPr>
            <w:tcW w:w="2432" w:type="dxa"/>
            <w:vMerge w:val="restart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3435" w:type="dxa"/>
            <w:vMerge w:val="restart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60-80</w:t>
            </w:r>
          </w:p>
        </w:tc>
        <w:tc>
          <w:tcPr>
            <w:tcW w:w="174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Интервал</w:t>
            </w:r>
          </w:p>
        </w:tc>
        <w:tc>
          <w:tcPr>
            <w:tcW w:w="270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0,8-0,9</w:t>
            </w:r>
          </w:p>
        </w:tc>
      </w:tr>
      <w:tr>
        <w:trPr>
          <w:trHeight w:val="261" w:hRule="exact"/>
        </w:trPr>
        <w:tc>
          <w:tcPr>
            <w:tcW w:w="2432" w:type="dxa"/>
            <w:vMerge w:val="continue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rFonts w:eastAsia="MS Sans Serif"/>
                <w:sz w:val="22"/>
                <w:szCs w:val="22"/>
              </w:rPr>
            </w:pPr>
            <w:r>
              <w:rPr>
                <w:rFonts w:eastAsia="MS Sans Serif"/>
                <w:sz w:val="22"/>
                <w:szCs w:val="22"/>
              </w:rPr>
            </w:r>
          </w:p>
        </w:tc>
        <w:tc>
          <w:tcPr>
            <w:tcW w:w="3435" w:type="dxa"/>
            <w:vMerge w:val="continue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rFonts w:eastAsia="MS Sans Serif"/>
                <w:sz w:val="22"/>
                <w:szCs w:val="22"/>
              </w:rPr>
            </w:pPr>
            <w:r>
              <w:rPr>
                <w:rFonts w:eastAsia="MS Sans Serif"/>
                <w:sz w:val="22"/>
                <w:szCs w:val="22"/>
              </w:rPr>
            </w:r>
          </w:p>
        </w:tc>
        <w:tc>
          <w:tcPr>
            <w:tcW w:w="174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Среднее</w:t>
            </w:r>
          </w:p>
        </w:tc>
        <w:tc>
          <w:tcPr>
            <w:tcW w:w="270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0,85</w:t>
            </w:r>
          </w:p>
        </w:tc>
      </w:tr>
      <w:tr>
        <w:trPr>
          <w:trHeight w:val="294" w:hRule="exact"/>
        </w:trPr>
        <w:tc>
          <w:tcPr>
            <w:tcW w:w="2432" w:type="dxa"/>
            <w:vMerge w:val="restart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Средний</w:t>
            </w:r>
          </w:p>
        </w:tc>
        <w:tc>
          <w:tcPr>
            <w:tcW w:w="3435" w:type="dxa"/>
            <w:vMerge w:val="restart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40-60</w:t>
            </w:r>
          </w:p>
        </w:tc>
        <w:tc>
          <w:tcPr>
            <w:tcW w:w="174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Интервал</w:t>
            </w:r>
          </w:p>
        </w:tc>
        <w:tc>
          <w:tcPr>
            <w:tcW w:w="270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0,7-0,8</w:t>
            </w:r>
          </w:p>
        </w:tc>
      </w:tr>
      <w:tr>
        <w:trPr>
          <w:trHeight w:val="286" w:hRule="exact"/>
        </w:trPr>
        <w:tc>
          <w:tcPr>
            <w:tcW w:w="2432" w:type="dxa"/>
            <w:vMerge w:val="continue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rFonts w:eastAsia="MS Sans Serif"/>
                <w:sz w:val="22"/>
                <w:szCs w:val="22"/>
              </w:rPr>
            </w:pPr>
            <w:r>
              <w:rPr>
                <w:rFonts w:eastAsia="MS Sans Serif"/>
                <w:sz w:val="22"/>
                <w:szCs w:val="22"/>
              </w:rPr>
            </w:r>
          </w:p>
        </w:tc>
        <w:tc>
          <w:tcPr>
            <w:tcW w:w="3435" w:type="dxa"/>
            <w:vMerge w:val="continue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rFonts w:eastAsia="MS Sans Serif"/>
                <w:sz w:val="22"/>
                <w:szCs w:val="22"/>
              </w:rPr>
            </w:pPr>
            <w:r>
              <w:rPr>
                <w:rFonts w:eastAsia="MS Sans Serif"/>
                <w:sz w:val="22"/>
                <w:szCs w:val="22"/>
              </w:rPr>
            </w:r>
          </w:p>
        </w:tc>
        <w:tc>
          <w:tcPr>
            <w:tcW w:w="174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Среднее</w:t>
            </w:r>
          </w:p>
        </w:tc>
        <w:tc>
          <w:tcPr>
            <w:tcW w:w="270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0,75</w:t>
            </w:r>
          </w:p>
        </w:tc>
      </w:tr>
      <w:tr>
        <w:trPr>
          <w:trHeight w:val="275" w:hRule="exact"/>
        </w:trPr>
        <w:tc>
          <w:tcPr>
            <w:tcW w:w="2432" w:type="dxa"/>
            <w:vMerge w:val="restart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3435" w:type="dxa"/>
            <w:vMerge w:val="restart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20-40</w:t>
            </w:r>
          </w:p>
        </w:tc>
        <w:tc>
          <w:tcPr>
            <w:tcW w:w="174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Интервал</w:t>
            </w:r>
          </w:p>
        </w:tc>
        <w:tc>
          <w:tcPr>
            <w:tcW w:w="270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0,6-0,7</w:t>
            </w:r>
          </w:p>
        </w:tc>
      </w:tr>
      <w:tr>
        <w:trPr>
          <w:trHeight w:val="291" w:hRule="exact"/>
        </w:trPr>
        <w:tc>
          <w:tcPr>
            <w:tcW w:w="2432" w:type="dxa"/>
            <w:vMerge w:val="continue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rFonts w:eastAsia="MS Sans Serif"/>
                <w:sz w:val="22"/>
                <w:szCs w:val="22"/>
              </w:rPr>
            </w:pPr>
            <w:r>
              <w:rPr>
                <w:rFonts w:eastAsia="MS Sans Serif"/>
                <w:sz w:val="22"/>
                <w:szCs w:val="22"/>
              </w:rPr>
            </w:r>
          </w:p>
        </w:tc>
        <w:tc>
          <w:tcPr>
            <w:tcW w:w="3435" w:type="dxa"/>
            <w:vMerge w:val="continue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rFonts w:eastAsia="MS Sans Serif"/>
                <w:sz w:val="22"/>
                <w:szCs w:val="22"/>
              </w:rPr>
            </w:pPr>
            <w:r>
              <w:rPr>
                <w:rFonts w:eastAsia="MS Sans Serif"/>
                <w:sz w:val="22"/>
                <w:szCs w:val="22"/>
              </w:rPr>
            </w:r>
          </w:p>
        </w:tc>
        <w:tc>
          <w:tcPr>
            <w:tcW w:w="174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Среднее</w:t>
            </w:r>
          </w:p>
        </w:tc>
        <w:tc>
          <w:tcPr>
            <w:tcW w:w="270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0,65</w:t>
            </w:r>
          </w:p>
        </w:tc>
      </w:tr>
      <w:tr>
        <w:trPr>
          <w:trHeight w:val="318" w:hRule="exact"/>
        </w:trPr>
        <w:tc>
          <w:tcPr>
            <w:tcW w:w="2432" w:type="dxa"/>
            <w:vMerge w:val="restart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Значительный</w:t>
            </w:r>
          </w:p>
        </w:tc>
        <w:tc>
          <w:tcPr>
            <w:tcW w:w="3435" w:type="dxa"/>
            <w:vMerge w:val="restart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0-20</w:t>
            </w:r>
          </w:p>
        </w:tc>
        <w:tc>
          <w:tcPr>
            <w:tcW w:w="174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Интервал</w:t>
            </w:r>
          </w:p>
        </w:tc>
        <w:tc>
          <w:tcPr>
            <w:tcW w:w="270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0,5-0,6</w:t>
            </w:r>
          </w:p>
        </w:tc>
      </w:tr>
      <w:tr>
        <w:trPr>
          <w:trHeight w:val="281" w:hRule="exact"/>
        </w:trPr>
        <w:tc>
          <w:tcPr>
            <w:tcW w:w="2432" w:type="dxa"/>
            <w:vMerge w:val="continue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rFonts w:eastAsia="MS Sans Serif"/>
                <w:sz w:val="22"/>
                <w:szCs w:val="22"/>
              </w:rPr>
            </w:pPr>
            <w:r>
              <w:rPr>
                <w:rFonts w:eastAsia="MS Sans Serif"/>
                <w:sz w:val="22"/>
                <w:szCs w:val="22"/>
              </w:rPr>
            </w:r>
          </w:p>
        </w:tc>
        <w:tc>
          <w:tcPr>
            <w:tcW w:w="3435" w:type="dxa"/>
            <w:vMerge w:val="continue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rFonts w:eastAsia="MS Sans Serif"/>
                <w:sz w:val="22"/>
                <w:szCs w:val="22"/>
              </w:rPr>
            </w:pPr>
            <w:r>
              <w:rPr>
                <w:rFonts w:eastAsia="MS Sans Serif"/>
                <w:sz w:val="22"/>
                <w:szCs w:val="22"/>
              </w:rPr>
            </w:r>
          </w:p>
        </w:tc>
        <w:tc>
          <w:tcPr>
            <w:tcW w:w="174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Среднее</w:t>
            </w:r>
          </w:p>
        </w:tc>
        <w:tc>
          <w:tcPr>
            <w:tcW w:w="270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  <w:insideH w:val="double" w:sz="4" w:space="0" w:color="000000"/>
              <w:insideV w:val="double" w:sz="4" w:space="0" w:color="000000"/>
            </w:tcBorders>
            <w:shd w:fill="auto" w:val="clear"/>
          </w:tcPr>
          <w:p>
            <w:pPr>
              <w:pStyle w:val="Style37"/>
              <w:tabs>
                <w:tab w:val="clear" w:pos="284"/>
                <w:tab w:val="left" w:pos="708" w:leader="none"/>
              </w:tabs>
              <w:spacing w:before="0" w:after="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0,55</w:t>
            </w:r>
          </w:p>
        </w:tc>
      </w:tr>
    </w:tbl>
    <w:p>
      <w:pPr>
        <w:pStyle w:val="Normal"/>
        <w:ind w:firstLine="708"/>
        <w:jc w:val="both"/>
        <w:rPr/>
      </w:pPr>
      <w:r>
        <w:rPr/>
      </w:r>
    </w:p>
    <w:p>
      <w:pPr>
        <w:pStyle w:val="Normal"/>
        <w:ind w:firstLine="708"/>
        <w:jc w:val="both"/>
        <w:rPr/>
      </w:pPr>
      <w:r>
        <w:rPr/>
        <w:t>Расчет стоимости годных остатков проводится на дату определения раз</w:t>
        <w:softHyphen/>
        <w:t>мера ущерба, если в определении (постановлении) органа, назначившего экс</w:t>
        <w:softHyphen/>
        <w:t>пертизу, не указана иная дата.</w:t>
      </w:r>
    </w:p>
    <w:p>
      <w:pPr>
        <w:pStyle w:val="111"/>
        <w:shd w:val="clear" w:color="auto" w:fill="auto"/>
        <w:spacing w:lineRule="auto" w:line="261"/>
        <w:jc w:val="both"/>
        <w:rPr>
          <w:sz w:val="24"/>
          <w:szCs w:val="24"/>
        </w:rPr>
      </w:pPr>
      <w:r>
        <w:rPr>
          <w:sz w:val="24"/>
          <w:szCs w:val="24"/>
        </w:rPr>
        <w:t>Стоимость не подлежащих дальнейшему использованию по назначению остатков КТС определяется произведением стоимости 1 тонны негабаритного стального лома и собственной массы КТС. При этом для упрощения расчетов не учитываются вес цветных металлов и неметаллических материалов.</w:t>
      </w:r>
    </w:p>
    <w:p>
      <w:pPr>
        <w:pStyle w:val="Normal"/>
        <w:ind w:firstLine="708"/>
        <w:jc w:val="both"/>
        <w:rPr/>
      </w:pPr>
      <w:r>
        <w:rPr/>
        <w:t>Поскольку в настоящее время стоимость затрат на разборку легкового ав</w:t>
        <w:softHyphen/>
        <w:t>томобиля, дефектовку, доставку до места сдачи в металлолом, как правило, превышает стоимость самого лома, то стоимость не подлежащих дальнейшей эксплуатации остатков для легковых автомобилей может не рассчитываться.</w:t>
      </w:r>
    </w:p>
    <w:p>
      <w:pPr>
        <w:pStyle w:val="Normal"/>
        <w:ind w:right="310" w:firstLine="708"/>
        <w:jc w:val="both"/>
        <w:rPr/>
      </w:pPr>
      <w:r>
        <w:rPr/>
      </w:r>
    </w:p>
    <w:p>
      <w:pPr>
        <w:pStyle w:val="Normal"/>
        <w:ind w:right="310" w:firstLine="708"/>
        <w:jc w:val="center"/>
        <w:rPr>
          <w:b/>
          <w:b/>
        </w:rPr>
      </w:pPr>
      <w:r>
        <w:rPr>
          <w:b/>
        </w:rPr>
        <w:t>Определение рыночной стоимости КТС</w:t>
      </w:r>
    </w:p>
    <w:p>
      <w:pPr>
        <w:pStyle w:val="Normal"/>
        <w:ind w:right="310" w:firstLine="708"/>
        <w:jc w:val="center"/>
        <w:rPr>
          <w:b/>
          <w:b/>
        </w:rPr>
      </w:pPr>
      <w:r>
        <w:rPr>
          <w:b/>
        </w:rPr>
      </w:r>
    </w:p>
    <w:p>
      <w:pPr>
        <w:pStyle w:val="Normal"/>
        <w:ind w:right="310" w:firstLine="708"/>
        <w:jc w:val="both"/>
        <w:rPr/>
      </w:pPr>
      <w:r>
        <w:rPr/>
        <w:t>Рыночная стоимость КТС отражает его комплектацию, комплект</w:t>
        <w:softHyphen/>
        <w:t>ность, фактическое техническое состояние, срок эксплуатации, пробег, усло</w:t>
        <w:softHyphen/>
        <w:t>вия, в которых оно эксплуатировалось, конъюнктуру первичного и вторич</w:t>
        <w:softHyphen/>
        <w:t>ного рынка КТС в регионе. Эти факторы выступают в качестве критериев корректировки средней цены оцениваемого КТС с целью получения его ры</w:t>
        <w:softHyphen/>
        <w:t>ночной стоимости.</w:t>
      </w:r>
    </w:p>
    <w:p>
      <w:pPr>
        <w:pStyle w:val="Normal"/>
        <w:ind w:right="310" w:firstLine="708"/>
        <w:jc w:val="both"/>
        <w:rPr/>
      </w:pPr>
      <w:r>
        <w:rPr/>
        <w:t>Расчет рыночной стоимости КТС (Сктс) производится по формуле:</w:t>
      </w:r>
    </w:p>
    <w:p>
      <w:pPr>
        <w:pStyle w:val="Normal"/>
        <w:ind w:right="310" w:firstLine="708"/>
        <w:jc w:val="center"/>
        <w:rPr/>
      </w:pPr>
      <w:r>
        <w:rPr/>
        <w:drawing>
          <wp:inline distT="0" distB="0" distL="0" distR="9525">
            <wp:extent cx="3000375" cy="552450"/>
            <wp:effectExtent l="0" t="0" r="0" b="0"/>
            <wp:docPr id="19" name="Рисунок 15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53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59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ind w:right="310" w:firstLine="708"/>
        <w:jc w:val="both"/>
        <w:rPr/>
      </w:pPr>
      <w:r>
        <w:rPr/>
        <w:t>где: Сср - средняя цена КТС, руб.;</w:t>
      </w:r>
    </w:p>
    <w:p>
      <w:pPr>
        <w:pStyle w:val="Normal"/>
        <w:ind w:right="310" w:firstLine="708"/>
        <w:jc w:val="both"/>
        <w:rPr/>
      </w:pPr>
      <w:r>
        <w:rPr/>
        <w:t>Пп - процентный показатель корректировки средней цены КТС по про</w:t>
        <w:softHyphen/>
        <w:t>бегу, %;</w:t>
      </w:r>
    </w:p>
    <w:p>
      <w:pPr>
        <w:pStyle w:val="Normal"/>
        <w:ind w:right="310" w:firstLine="708"/>
        <w:jc w:val="both"/>
        <w:rPr/>
      </w:pPr>
      <w:r>
        <w:rPr/>
        <w:t>Пэ - процентный показатель корректировки средней цены КТС в зависи</w:t>
        <w:softHyphen/>
        <w:t>мости от условий эксплуатации, %;</w:t>
      </w:r>
    </w:p>
    <w:p>
      <w:pPr>
        <w:pStyle w:val="Normal"/>
        <w:ind w:right="310" w:firstLine="708"/>
        <w:jc w:val="both"/>
        <w:rPr/>
      </w:pPr>
      <w:r>
        <w:rPr/>
        <w:t>Сдоп - дополнительное увеличение (уменьшение) стоимости в зависимо</w:t>
        <w:softHyphen/>
        <w:t>сти от его комплектности, комплектации, наличия повреждений и факта их устранения, обновления составных частей, руб.</w:t>
      </w:r>
    </w:p>
    <w:p>
      <w:pPr>
        <w:pStyle w:val="Normal"/>
        <w:ind w:right="310" w:firstLine="708"/>
        <w:jc w:val="both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  <w:t>Согласно методических рекомендаций часть III п. 2.4 «Корректировка средней цены КТС, исходя из его комплектности, опций комплектации, обновления составных частей, повреждений и факта их устранения определяется по формуле:</w:t>
      </w:r>
    </w:p>
    <w:p>
      <w:pPr>
        <w:pStyle w:val="Normal"/>
        <w:ind w:right="310" w:firstLine="708"/>
        <w:jc w:val="center"/>
        <w:rPr/>
      </w:pPr>
      <w:r>
        <w:rPr/>
        <w:drawing>
          <wp:inline distT="0" distB="6985" distL="0" distR="0">
            <wp:extent cx="4904740" cy="374015"/>
            <wp:effectExtent l="0" t="0" r="0" b="0"/>
            <wp:docPr id="20" name="Рисунок 15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54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0" t="20555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740" cy="37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right="310" w:firstLine="708"/>
        <w:jc w:val="both"/>
        <w:rPr/>
      </w:pPr>
      <w:r>
        <w:rPr/>
        <w:t>где С1 - увеличение средней цены КТС вследствие замены (обновления) его составных частей в процессе эксплуатации, руб.;</w:t>
      </w:r>
    </w:p>
    <w:p>
      <w:pPr>
        <w:pStyle w:val="Normal"/>
        <w:ind w:right="310" w:firstLine="708"/>
        <w:jc w:val="both"/>
        <w:rPr/>
      </w:pPr>
      <w:r>
        <w:rPr/>
        <w:t>С2 - изменение средней цены КТС в зависимости от опций его комплек</w:t>
        <w:softHyphen/>
        <w:t>тации, руб.;</w:t>
      </w:r>
    </w:p>
    <w:p>
      <w:pPr>
        <w:pStyle w:val="Normal"/>
        <w:ind w:right="310" w:firstLine="708"/>
        <w:jc w:val="both"/>
        <w:rPr/>
      </w:pPr>
      <w:r>
        <w:rPr/>
        <w:t>Ср - стоимость ремонтных работ по восстановлению КТС, в случае его нахождения в поврежденном или разукомплектованном состоянии на дату оценки, или стоимость работ с целью повышения его отдельных потребитель</w:t>
        <w:softHyphen/>
        <w:t>ских качеств (тюнинга), руб.;</w:t>
      </w:r>
    </w:p>
    <w:p>
      <w:pPr>
        <w:pStyle w:val="Normal"/>
        <w:ind w:right="310" w:firstLine="708"/>
        <w:jc w:val="both"/>
        <w:rPr/>
      </w:pPr>
      <w:r>
        <w:rPr/>
        <w:t>См - стоимость необходимых для ремонта материалов, в случае его нахож</w:t>
        <w:softHyphen/>
        <w:t>дения в поврежденном или разукомплектованном состоянии на дату оценки, или для выполнения работ с целью повышения его отдельных потребитель</w:t>
        <w:softHyphen/>
        <w:t>ских качеств (тюнинга), руб.;</w:t>
      </w:r>
    </w:p>
    <w:p>
      <w:pPr>
        <w:pStyle w:val="Normal"/>
        <w:ind w:right="310" w:firstLine="708"/>
        <w:jc w:val="both"/>
        <w:rPr/>
      </w:pPr>
      <w:r>
        <w:rPr/>
        <w:t>Сзч - стоимость новых запасных частей, в случае нахождения КТС в по</w:t>
        <w:softHyphen/>
        <w:t>врежденном или разукомплектованном состоянии на дату оценки, или для выполнения работ с целью повышения его отдельных потребительских ка</w:t>
        <w:softHyphen/>
        <w:t>честв (тюнинга), руб.;</w:t>
      </w:r>
    </w:p>
    <w:p>
      <w:pPr>
        <w:pStyle w:val="Normal"/>
        <w:ind w:right="310" w:firstLine="708"/>
        <w:jc w:val="both"/>
        <w:rPr/>
      </w:pPr>
      <w:r>
        <w:rPr/>
        <w:t>И - коэффициент износа составной части, подлежащей замене, %;</w:t>
      </w:r>
    </w:p>
    <w:p>
      <w:pPr>
        <w:pStyle w:val="Normal"/>
        <w:ind w:right="310" w:firstLine="708"/>
        <w:jc w:val="both"/>
        <w:rPr/>
      </w:pPr>
      <w:r>
        <w:rPr/>
        <w:t>Сутс - величина утраты товарной стоимости КТС на дату оценки, руб.</w:t>
      </w:r>
    </w:p>
    <w:p>
      <w:pPr>
        <w:pStyle w:val="Normal"/>
        <w:ind w:right="310" w:firstLine="708"/>
        <w:jc w:val="center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</w:r>
    </w:p>
    <w:p>
      <w:pPr>
        <w:pStyle w:val="Normal"/>
        <w:ind w:right="310" w:firstLine="708"/>
        <w:rPr/>
      </w:pPr>
      <w:r>
        <w:rPr>
          <w:color w:val="000009"/>
          <w:sz w:val="23"/>
          <w:szCs w:val="23"/>
        </w:rPr>
        <w:t>Данные, влияющие на коэффициент C</w:t>
      </w:r>
      <w:r>
        <w:rPr>
          <w:color w:val="000009"/>
          <w:sz w:val="16"/>
          <w:szCs w:val="16"/>
        </w:rPr>
        <w:t xml:space="preserve">1 </w:t>
      </w:r>
      <w:r>
        <w:rPr>
          <w:color w:val="000009"/>
          <w:sz w:val="23"/>
          <w:szCs w:val="23"/>
        </w:rPr>
        <w:t>эксперту не известны, и не могут быть получены в рамках проводимого исследования, в связи с чем данный коэффициент принят равным нулю. Так как при дальнейшем исследовании использованы аналоги подходящие по возрасту, двигателю, типу КПП, и максимально приближенные к комплектации объекта исследования, значение C</w:t>
      </w:r>
      <w:r>
        <w:rPr>
          <w:color w:val="000009"/>
          <w:sz w:val="16"/>
          <w:szCs w:val="16"/>
        </w:rPr>
        <w:t xml:space="preserve">2 </w:t>
      </w:r>
      <w:r>
        <w:rPr>
          <w:color w:val="000009"/>
          <w:sz w:val="23"/>
          <w:szCs w:val="23"/>
        </w:rPr>
        <w:t xml:space="preserve">принято равным 0% от </w:t>
      </w:r>
      <w:r>
        <w:rPr>
          <w:rFonts w:cs="Cambria Math" w:ascii="Cambria Math" w:hAnsi="Cambria Math"/>
          <w:color w:val="000009"/>
          <w:sz w:val="23"/>
          <w:szCs w:val="23"/>
        </w:rPr>
        <w:t>С</w:t>
      </w:r>
      <w:r>
        <w:rPr>
          <w:rFonts w:cs="Cambria Math" w:ascii="Cambria Math" w:hAnsi="Cambria Math"/>
          <w:color w:val="000009"/>
          <w:sz w:val="17"/>
          <w:szCs w:val="17"/>
        </w:rPr>
        <w:t>СР</w:t>
      </w:r>
      <w:r>
        <w:rPr>
          <w:rFonts w:cs="Cambria Math" w:ascii="Cambria Math" w:hAnsi="Cambria Math"/>
          <w:color w:val="000009"/>
          <w:sz w:val="23"/>
          <w:szCs w:val="23"/>
        </w:rPr>
        <w:t xml:space="preserve">. </w:t>
      </w:r>
      <w:r>
        <w:rPr>
          <w:color w:val="000009"/>
          <w:sz w:val="23"/>
          <w:szCs w:val="23"/>
        </w:rPr>
        <w:t>В связи с тем, что как показало исследование, эксплуатационных и иных повреждений, которые возникли на объекте исследования до даты рассматриваемого события не выявлены, то корректировка с учетом коэффициента С</w:t>
      </w:r>
      <w:r>
        <w:rPr>
          <w:color w:val="000009"/>
          <w:sz w:val="16"/>
          <w:szCs w:val="16"/>
        </w:rPr>
        <w:t xml:space="preserve">УТС </w:t>
      </w:r>
      <w:r>
        <w:rPr>
          <w:color w:val="000009"/>
          <w:sz w:val="23"/>
          <w:szCs w:val="23"/>
        </w:rPr>
        <w:t>и расчета стоимости устранения до аварийных повреждений не проводилась. Таким образом, С</w:t>
      </w:r>
      <w:r>
        <w:rPr>
          <w:color w:val="000009"/>
          <w:sz w:val="16"/>
          <w:szCs w:val="16"/>
        </w:rPr>
        <w:t xml:space="preserve">ДОП </w:t>
      </w:r>
      <w:r>
        <w:rPr>
          <w:color w:val="000009"/>
          <w:sz w:val="23"/>
          <w:szCs w:val="23"/>
        </w:rPr>
        <w:t xml:space="preserve">= </w:t>
      </w:r>
      <w:r>
        <w:rPr>
          <w:rFonts w:cs="Cambria Math" w:ascii="Cambria Math" w:hAnsi="Cambria Math"/>
          <w:color w:val="000009"/>
          <w:sz w:val="23"/>
          <w:szCs w:val="23"/>
        </w:rPr>
        <w:t>0</w:t>
      </w:r>
    </w:p>
    <w:p>
      <w:pPr>
        <w:pStyle w:val="Normal"/>
        <w:ind w:right="310" w:hanging="0"/>
        <w:rPr/>
      </w:pPr>
      <w:r>
        <w:rPr/>
      </w:r>
    </w:p>
    <w:p>
      <w:pPr>
        <w:pStyle w:val="Default1"/>
        <w:ind w:firstLine="708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  <w:t xml:space="preserve">Согласно методическим рекомендациям часть III п. 3.1 «Значение средней цены соответствует наиболее низкой цене, по которой участники рынка готовы продать оцениваемое КТС, и наиболее высокой цене, по которой участники рынка готовы купить это КТС. </w:t>
      </w:r>
    </w:p>
    <w:p>
      <w:pPr>
        <w:pStyle w:val="Normal"/>
        <w:ind w:right="310" w:firstLine="708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  <w:t>Если при определении С</w:t>
      </w:r>
      <w:r>
        <w:rPr>
          <w:color w:val="000009"/>
          <w:sz w:val="16"/>
          <w:szCs w:val="16"/>
        </w:rPr>
        <w:t xml:space="preserve">СР </w:t>
      </w:r>
      <w:r>
        <w:rPr>
          <w:color w:val="000009"/>
          <w:sz w:val="23"/>
          <w:szCs w:val="23"/>
        </w:rPr>
        <w:t>используются цены предложения к продаже, то среднерыночная цена должна быть скорректирована в соответствии с нижеприведенной формулой:</w:t>
      </w:r>
    </w:p>
    <w:p>
      <w:pPr>
        <w:pStyle w:val="Normal"/>
        <w:ind w:right="310" w:firstLine="708"/>
        <w:jc w:val="center"/>
        <w:rPr/>
      </w:pPr>
      <w:r>
        <w:rPr/>
        <w:drawing>
          <wp:inline distT="0" distB="0" distL="0" distR="3810">
            <wp:extent cx="1996440" cy="485140"/>
            <wp:effectExtent l="0" t="0" r="0" b="0"/>
            <wp:docPr id="21" name="Рисунок 155" descr="2022-01-05_100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155" descr="2022-01-05_10023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0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right="310" w:firstLine="708"/>
        <w:jc w:val="both"/>
        <w:rPr>
          <w:sz w:val="20"/>
          <w:szCs w:val="20"/>
        </w:rPr>
      </w:pPr>
      <w:r>
        <w:rPr/>
        <w:tab/>
      </w:r>
    </w:p>
    <w:p>
      <w:pPr>
        <w:pStyle w:val="Normal"/>
        <w:ind w:right="310" w:firstLine="708"/>
        <w:jc w:val="both"/>
        <w:rPr/>
      </w:pPr>
      <w:r>
        <w:rPr/>
        <w:t>где С</w:t>
      </w:r>
      <w:r>
        <w:rPr>
          <w:vertAlign w:val="subscript"/>
        </w:rPr>
        <w:t>пред</w:t>
      </w:r>
      <w:r>
        <w:rPr/>
        <w:t xml:space="preserve"> - средняя цена предложения к продаже подержанного КТС, соответ</w:t>
        <w:softHyphen/>
        <w:t>ствующего срока эксплуатации, руб.;</w:t>
      </w:r>
    </w:p>
    <w:p>
      <w:pPr>
        <w:pStyle w:val="Normal"/>
        <w:ind w:right="310" w:firstLine="708"/>
        <w:jc w:val="both"/>
        <w:rPr/>
      </w:pPr>
      <w:r>
        <w:rPr/>
        <w:t>К</w:t>
      </w:r>
      <w:r>
        <w:rPr>
          <w:vertAlign w:val="subscript"/>
        </w:rPr>
        <w:t>т</w:t>
      </w:r>
      <w:r>
        <w:rPr/>
        <w:t xml:space="preserve"> - коэффициент торга, учитывающий отличие средней цены продажи КТС от средней цены предложения к продаже </w:t>
      </w:r>
      <w:r>
        <w:rPr>
          <w:color w:val="000009"/>
          <w:sz w:val="23"/>
          <w:szCs w:val="23"/>
        </w:rPr>
        <w:t>(как правило, значение коэффициента торга находится в пределах 0,91 – 0,99)».</w:t>
      </w:r>
    </w:p>
    <w:p>
      <w:pPr>
        <w:pStyle w:val="Default1"/>
        <w:rPr>
          <w:color w:val="000009"/>
          <w:sz w:val="23"/>
          <w:szCs w:val="23"/>
        </w:rPr>
      </w:pPr>
      <w:r>
        <w:rPr/>
        <w:tab/>
      </w:r>
      <w:r>
        <w:rPr>
          <w:color w:val="000009"/>
          <w:sz w:val="23"/>
          <w:szCs w:val="23"/>
        </w:rPr>
        <w:t>Техническое состояние КТС</w:t>
      </w:r>
      <w:r>
        <w:rPr>
          <w:sz w:val="23"/>
          <w:szCs w:val="23"/>
        </w:rPr>
        <w:t xml:space="preserve"> NISSAN Juke, регистрационный знак Р182ХК799, </w:t>
      </w:r>
      <w:r>
        <w:rPr>
          <w:color w:val="000009"/>
          <w:sz w:val="23"/>
          <w:szCs w:val="23"/>
        </w:rPr>
        <w:t>соответствует сроку его эксплуатации.</w:t>
      </w:r>
    </w:p>
    <w:p>
      <w:pPr>
        <w:pStyle w:val="Default1"/>
        <w:rPr/>
      </w:pPr>
      <w:r>
        <w:rPr>
          <w:color w:val="000009"/>
          <w:sz w:val="23"/>
          <w:szCs w:val="23"/>
        </w:rPr>
        <w:t xml:space="preserve"> </w:t>
      </w:r>
      <w:r>
        <w:rPr>
          <w:color w:val="000009"/>
          <w:sz w:val="23"/>
          <w:szCs w:val="23"/>
        </w:rPr>
        <w:tab/>
        <w:t xml:space="preserve">С учетом этого, а также исходя из данных о том, что на дату ДПТ - КТС не эксплуатировалось в режиме такси - значение </w:t>
      </w:r>
      <w:r>
        <w:rPr>
          <w:b/>
          <w:bCs/>
          <w:color w:val="000009"/>
          <w:sz w:val="23"/>
          <w:szCs w:val="23"/>
        </w:rPr>
        <w:t>П</w:t>
      </w:r>
      <w:r>
        <w:rPr>
          <w:b/>
          <w:bCs/>
          <w:color w:val="000009"/>
          <w:sz w:val="16"/>
          <w:szCs w:val="16"/>
        </w:rPr>
        <w:t xml:space="preserve">Э </w:t>
      </w:r>
      <w:r>
        <w:rPr>
          <w:color w:val="000009"/>
          <w:sz w:val="23"/>
          <w:szCs w:val="23"/>
        </w:rPr>
        <w:t xml:space="preserve">принимаются равными </w:t>
      </w:r>
      <w:r>
        <w:rPr>
          <w:b/>
          <w:bCs/>
          <w:color w:val="000009"/>
          <w:sz w:val="23"/>
          <w:szCs w:val="23"/>
        </w:rPr>
        <w:t>0%.</w:t>
      </w:r>
    </w:p>
    <w:p>
      <w:pPr>
        <w:pStyle w:val="Default1"/>
        <w:ind w:firstLine="708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  <w:t xml:space="preserve">Экспертом проведено исследование вторичного рынка автомобильной техники в Регионе исследования по состоянию на дату исследования, в соответствующем временном интервале (дельта интервала составила 6 месяцев, от и до даты исследования). </w:t>
      </w:r>
    </w:p>
    <w:p>
      <w:pPr>
        <w:pStyle w:val="Default1"/>
        <w:ind w:firstLine="708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  <w:t xml:space="preserve">Исследовались цены предложений на идентичные автомобили NISSAN Juke, 2011г., с аналогичными характеристиками. Все КТС исправные, не имеющие повреждений до их продажи. </w:t>
      </w:r>
    </w:p>
    <w:p>
      <w:pPr>
        <w:pStyle w:val="Normal"/>
        <w:ind w:right="310" w:firstLine="708"/>
        <w:jc w:val="both"/>
        <w:rPr/>
      </w:pPr>
      <w:r>
        <w:rPr>
          <w:color w:val="000009"/>
          <w:sz w:val="23"/>
          <w:szCs w:val="23"/>
        </w:rPr>
        <w:t>Результаты исследования сведены в нижеприведенную таблицу 9:</w:t>
      </w:r>
    </w:p>
    <w:p>
      <w:pPr>
        <w:pStyle w:val="BodyText3"/>
        <w:spacing w:before="0" w:after="0"/>
        <w:ind w:firstLine="284"/>
        <w:jc w:val="right"/>
        <w:rPr>
          <w:sz w:val="24"/>
          <w:szCs w:val="24"/>
          <w:lang w:val="ru-RU"/>
        </w:rPr>
      </w:pPr>
      <w:r>
        <w:rPr>
          <w:sz w:val="24"/>
          <w:szCs w:val="24"/>
        </w:rPr>
        <w:t xml:space="preserve">Таблица </w:t>
      </w:r>
      <w:r>
        <w:rPr>
          <w:sz w:val="24"/>
          <w:szCs w:val="24"/>
          <w:lang w:val="ru-RU"/>
        </w:rPr>
        <w:t>9</w:t>
      </w:r>
    </w:p>
    <w:p>
      <w:pPr>
        <w:pStyle w:val="BodyText3"/>
        <w:spacing w:before="0" w:after="0"/>
        <w:ind w:firstLine="284"/>
        <w:jc w:val="center"/>
        <w:rPr>
          <w:sz w:val="24"/>
          <w:szCs w:val="24"/>
          <w:lang w:val="ru-RU"/>
        </w:rPr>
      </w:pPr>
      <w:r>
        <w:rPr>
          <w:color w:val="000009"/>
          <w:sz w:val="20"/>
          <w:szCs w:val="20"/>
        </w:rPr>
        <w:t>Описание КТС, аналогичных оцениваемому</w:t>
      </w:r>
    </w:p>
    <w:tbl>
      <w:tblPr>
        <w:tblW w:w="10490" w:type="dxa"/>
        <w:jc w:val="left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1650"/>
        <w:gridCol w:w="1105"/>
        <w:gridCol w:w="1072"/>
        <w:gridCol w:w="993"/>
        <w:gridCol w:w="4111"/>
        <w:gridCol w:w="1558"/>
      </w:tblGrid>
      <w:tr>
        <w:trPr>
          <w:trHeight w:val="20" w:hRule="atLeast"/>
        </w:trPr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Марка модель</w:t>
            </w:r>
          </w:p>
        </w:tc>
        <w:tc>
          <w:tcPr>
            <w:tcW w:w="110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Год выпуска</w:t>
            </w:r>
          </w:p>
        </w:tc>
        <w:tc>
          <w:tcPr>
            <w:tcW w:w="107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Пробег км.</w:t>
            </w:r>
          </w:p>
        </w:tc>
        <w:tc>
          <w:tcPr>
            <w:tcW w:w="99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Среднегодовой пробег тыс. км.</w:t>
            </w:r>
          </w:p>
        </w:tc>
        <w:tc>
          <w:tcPr>
            <w:tcW w:w="411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Ссылка на объявление</w:t>
            </w:r>
          </w:p>
        </w:tc>
        <w:tc>
          <w:tcPr>
            <w:tcW w:w="15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Цена предложения (</w:t>
            </w:r>
            <w:r>
              <w:rPr>
                <w:color w:val="000009"/>
                <w:sz w:val="20"/>
                <w:szCs w:val="20"/>
              </w:rPr>
              <w:t>Ц</w:t>
            </w:r>
            <w:r>
              <w:rPr>
                <w:color w:val="000009"/>
                <w:sz w:val="20"/>
                <w:szCs w:val="20"/>
                <w:vertAlign w:val="subscript"/>
              </w:rPr>
              <w:t xml:space="preserve">i), </w:t>
            </w:r>
            <w:r>
              <w:rPr>
                <w:color w:val="000000"/>
                <w:sz w:val="20"/>
                <w:szCs w:val="20"/>
              </w:rPr>
              <w:t>руб.</w:t>
            </w:r>
          </w:p>
        </w:tc>
      </w:tr>
      <w:tr>
        <w:trPr>
          <w:trHeight w:val="20" w:hRule="atLeast"/>
        </w:trPr>
        <w:tc>
          <w:tcPr>
            <w:tcW w:w="16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NISSAN Juke</w:t>
            </w:r>
          </w:p>
        </w:tc>
        <w:tc>
          <w:tcPr>
            <w:tcW w:w="110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2011</w:t>
            </w:r>
          </w:p>
        </w:tc>
        <w:tc>
          <w:tcPr>
            <w:tcW w:w="1072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99999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8264</w:t>
            </w:r>
          </w:p>
        </w:tc>
        <w:tc>
          <w:tcPr>
            <w:tcW w:w="411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hyperlink r:id="rId29">
              <w:r>
                <w:rPr>
                  <w:rStyle w:val="Style11"/>
                  <w:rFonts w:cs="Calibri"/>
                  <w:sz w:val="22"/>
                  <w:szCs w:val="22"/>
                </w:rPr>
                <w:t>https://auto.ru/cars/used/sale/nissan/juke/1118056504-212a5237/</w:t>
              </w:r>
            </w:hyperlink>
          </w:p>
        </w:tc>
        <w:tc>
          <w:tcPr>
            <w:tcW w:w="1558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1000000</w:t>
            </w:r>
          </w:p>
        </w:tc>
      </w:tr>
      <w:tr>
        <w:trPr>
          <w:trHeight w:val="20" w:hRule="atLeast"/>
        </w:trPr>
        <w:tc>
          <w:tcPr>
            <w:tcW w:w="16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NISSAN Juke</w:t>
            </w:r>
          </w:p>
        </w:tc>
        <w:tc>
          <w:tcPr>
            <w:tcW w:w="110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2011</w:t>
            </w:r>
          </w:p>
        </w:tc>
        <w:tc>
          <w:tcPr>
            <w:tcW w:w="1072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154000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12727</w:t>
            </w:r>
          </w:p>
        </w:tc>
        <w:tc>
          <w:tcPr>
            <w:tcW w:w="411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hyperlink r:id="rId30">
              <w:r>
                <w:rPr>
                  <w:rStyle w:val="Style11"/>
                  <w:rFonts w:cs="Calibri"/>
                  <w:sz w:val="22"/>
                  <w:szCs w:val="22"/>
                </w:rPr>
                <w:t>https://auto.ru/cars/used/sale/nissan/juke/1116868584-e4f0b5b8/</w:t>
              </w:r>
            </w:hyperlink>
          </w:p>
        </w:tc>
        <w:tc>
          <w:tcPr>
            <w:tcW w:w="1558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1050000</w:t>
            </w:r>
          </w:p>
        </w:tc>
      </w:tr>
      <w:tr>
        <w:trPr>
          <w:trHeight w:val="20" w:hRule="atLeast"/>
        </w:trPr>
        <w:tc>
          <w:tcPr>
            <w:tcW w:w="16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NISSAN Juke</w:t>
            </w:r>
          </w:p>
        </w:tc>
        <w:tc>
          <w:tcPr>
            <w:tcW w:w="110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2011</w:t>
            </w:r>
          </w:p>
        </w:tc>
        <w:tc>
          <w:tcPr>
            <w:tcW w:w="1072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158000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13058</w:t>
            </w:r>
          </w:p>
        </w:tc>
        <w:tc>
          <w:tcPr>
            <w:tcW w:w="411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hyperlink r:id="rId31">
              <w:r>
                <w:rPr>
                  <w:rStyle w:val="Style11"/>
                  <w:rFonts w:cs="Calibri"/>
                  <w:sz w:val="22"/>
                  <w:szCs w:val="22"/>
                </w:rPr>
                <w:t>https://auto.ru/cars/used/sale/nissan/juke/1118078213-bbb642bb/</w:t>
              </w:r>
            </w:hyperlink>
          </w:p>
        </w:tc>
        <w:tc>
          <w:tcPr>
            <w:tcW w:w="1558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880000</w:t>
            </w:r>
          </w:p>
        </w:tc>
      </w:tr>
      <w:tr>
        <w:trPr>
          <w:trHeight w:val="20" w:hRule="atLeast"/>
        </w:trPr>
        <w:tc>
          <w:tcPr>
            <w:tcW w:w="16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NISSAN Juke</w:t>
            </w:r>
          </w:p>
        </w:tc>
        <w:tc>
          <w:tcPr>
            <w:tcW w:w="110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2011</w:t>
            </w:r>
          </w:p>
        </w:tc>
        <w:tc>
          <w:tcPr>
            <w:tcW w:w="1072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130000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10744</w:t>
            </w:r>
          </w:p>
        </w:tc>
        <w:tc>
          <w:tcPr>
            <w:tcW w:w="411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hyperlink r:id="rId32">
              <w:r>
                <w:rPr>
                  <w:rStyle w:val="Style11"/>
                  <w:rFonts w:cs="Calibri"/>
                  <w:sz w:val="22"/>
                  <w:szCs w:val="22"/>
                </w:rPr>
                <w:t>https://auto.ru/cars/used/sale/nissan/juke/1118057383-239d8865/</w:t>
              </w:r>
            </w:hyperlink>
          </w:p>
        </w:tc>
        <w:tc>
          <w:tcPr>
            <w:tcW w:w="1558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1250000</w:t>
            </w:r>
          </w:p>
        </w:tc>
      </w:tr>
      <w:tr>
        <w:trPr>
          <w:trHeight w:val="20" w:hRule="atLeast"/>
        </w:trPr>
        <w:tc>
          <w:tcPr>
            <w:tcW w:w="16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NISSAN Juke</w:t>
            </w:r>
          </w:p>
        </w:tc>
        <w:tc>
          <w:tcPr>
            <w:tcW w:w="110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2011</w:t>
            </w:r>
          </w:p>
        </w:tc>
        <w:tc>
          <w:tcPr>
            <w:tcW w:w="1072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90000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7438</w:t>
            </w:r>
          </w:p>
        </w:tc>
        <w:tc>
          <w:tcPr>
            <w:tcW w:w="411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hyperlink r:id="rId33">
              <w:r>
                <w:rPr>
                  <w:rStyle w:val="Style11"/>
                  <w:rFonts w:cs="Calibri"/>
                  <w:sz w:val="22"/>
                  <w:szCs w:val="22"/>
                </w:rPr>
                <w:t>https://auto.ru/cars/used/sale/nissan/juke/1106634101-3dce4e3f/</w:t>
              </w:r>
            </w:hyperlink>
          </w:p>
        </w:tc>
        <w:tc>
          <w:tcPr>
            <w:tcW w:w="1558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1100000</w:t>
            </w:r>
          </w:p>
        </w:tc>
      </w:tr>
    </w:tbl>
    <w:p>
      <w:pPr>
        <w:pStyle w:val="BodyText3"/>
        <w:spacing w:before="0" w:after="0"/>
        <w:ind w:firstLine="284"/>
        <w:jc w:val="both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</w:r>
    </w:p>
    <w:p>
      <w:pPr>
        <w:pStyle w:val="BodyText3"/>
        <w:spacing w:before="0" w:after="0"/>
        <w:ind w:firstLine="284"/>
        <w:jc w:val="both"/>
        <w:rPr>
          <w:sz w:val="24"/>
          <w:szCs w:val="24"/>
        </w:rPr>
      </w:pPr>
      <w:r>
        <w:rPr>
          <w:color w:val="000009"/>
          <w:sz w:val="23"/>
          <w:szCs w:val="23"/>
        </w:rPr>
        <w:t xml:space="preserve">Скриншоты публикаций о продаже аналогов объекта исследования представлены </w:t>
      </w:r>
      <w:r>
        <w:rPr>
          <w:color w:val="000009"/>
          <w:sz w:val="23"/>
          <w:szCs w:val="23"/>
          <w:lang w:val="ru-RU"/>
        </w:rPr>
        <w:t>в Приложение №6.</w:t>
      </w:r>
    </w:p>
    <w:p>
      <w:pPr>
        <w:pStyle w:val="Normal"/>
        <w:ind w:right="310" w:firstLine="708"/>
        <w:jc w:val="both"/>
        <w:rPr>
          <w:lang w:val="x-none"/>
        </w:rPr>
      </w:pPr>
      <w:r>
        <w:rPr>
          <w:lang w:val="x-none"/>
        </w:rPr>
      </w:r>
    </w:p>
    <w:p>
      <w:pPr>
        <w:pStyle w:val="Default1"/>
        <w:ind w:firstLine="284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  <w:t>При определении среднегодового пробега ТС принимались дата изготовления КТС –01.01.</w:t>
      </w:r>
      <w:r>
        <w:rPr>
          <w:color w:val="000000" w:themeColor="text1"/>
        </w:rPr>
        <w:t>2011г.</w:t>
      </w:r>
      <w:r>
        <w:rPr>
          <w:color w:val="000009"/>
          <w:sz w:val="23"/>
          <w:szCs w:val="23"/>
        </w:rPr>
        <w:t xml:space="preserve"> (при условии отсутствия иных данных в объявлениях о продаже). </w:t>
      </w:r>
    </w:p>
    <w:p>
      <w:pPr>
        <w:pStyle w:val="Normal"/>
        <w:ind w:right="310" w:firstLine="708"/>
        <w:jc w:val="both"/>
        <w:rPr>
          <w:lang w:val="x-none"/>
        </w:rPr>
      </w:pPr>
      <w:r>
        <w:rPr>
          <w:color w:val="000009"/>
          <w:sz w:val="23"/>
          <w:szCs w:val="23"/>
        </w:rPr>
        <w:t>Средняя рыночная цена предложений к продаже КТС определяется по формуле:</w:t>
      </w:r>
    </w:p>
    <w:p>
      <w:pPr>
        <w:pStyle w:val="Normal"/>
        <w:ind w:right="310" w:firstLine="708"/>
        <w:jc w:val="center"/>
        <w:rPr>
          <w:b/>
          <w:b/>
          <w:color w:val="000009"/>
          <w:sz w:val="23"/>
          <w:szCs w:val="23"/>
        </w:rPr>
      </w:pPr>
      <w:r>
        <w:rPr>
          <w:b/>
          <w:color w:val="000009"/>
          <w:sz w:val="23"/>
          <w:szCs w:val="23"/>
        </w:rPr>
      </w:r>
    </w:p>
    <w:p>
      <w:pPr>
        <w:pStyle w:val="Normal"/>
        <w:ind w:right="310" w:firstLine="708"/>
        <w:jc w:val="center"/>
        <w:rPr>
          <w:b/>
          <w:b/>
          <w:sz w:val="28"/>
          <w:szCs w:val="28"/>
          <w:lang w:val="x-none"/>
        </w:rPr>
      </w:pPr>
      <w:r>
        <w:rPr>
          <w:b/>
          <w:color w:val="000009"/>
          <w:sz w:val="28"/>
          <w:szCs w:val="28"/>
        </w:rPr>
        <w:t>С</w:t>
      </w:r>
      <w:r>
        <w:rPr>
          <w:b/>
          <w:color w:val="000009"/>
          <w:sz w:val="28"/>
          <w:szCs w:val="28"/>
          <w:vertAlign w:val="subscript"/>
        </w:rPr>
        <w:t>ПРЕДЛ</w:t>
      </w:r>
      <w:r>
        <w:rPr>
          <w:b/>
          <w:color w:val="000009"/>
          <w:sz w:val="28"/>
          <w:szCs w:val="28"/>
        </w:rPr>
        <w:t xml:space="preserve"> = ΣЦ</w:t>
      </w:r>
      <w:r>
        <w:rPr>
          <w:b/>
          <w:color w:val="000009"/>
          <w:sz w:val="28"/>
          <w:szCs w:val="28"/>
          <w:vertAlign w:val="subscript"/>
        </w:rPr>
        <w:t>i</w:t>
      </w:r>
      <w:r>
        <w:rPr>
          <w:b/>
          <w:color w:val="000009"/>
          <w:sz w:val="28"/>
          <w:szCs w:val="28"/>
        </w:rPr>
        <w:t>/i,</w:t>
      </w:r>
    </w:p>
    <w:p>
      <w:pPr>
        <w:pStyle w:val="Default1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  <w:t>где Ц</w:t>
      </w:r>
      <w:r>
        <w:rPr>
          <w:color w:val="000009"/>
          <w:sz w:val="16"/>
          <w:szCs w:val="16"/>
        </w:rPr>
        <w:t xml:space="preserve">i </w:t>
      </w:r>
      <w:r>
        <w:rPr>
          <w:color w:val="000009"/>
          <w:sz w:val="23"/>
          <w:szCs w:val="23"/>
        </w:rPr>
        <w:t xml:space="preserve">– цена предложения к продаже i-го КТС, </w:t>
      </w:r>
    </w:p>
    <w:p>
      <w:pPr>
        <w:pStyle w:val="Normal"/>
        <w:ind w:right="310" w:hanging="0"/>
        <w:rPr/>
      </w:pPr>
      <w:r>
        <w:rPr>
          <w:color w:val="000009"/>
          <w:sz w:val="23"/>
          <w:szCs w:val="23"/>
        </w:rPr>
        <w:t>i – количество предложений.</w:t>
      </w:r>
    </w:p>
    <w:p>
      <w:pPr>
        <w:pStyle w:val="Normal"/>
        <w:ind w:right="310" w:firstLine="708"/>
        <w:jc w:val="both"/>
        <w:rPr/>
      </w:pPr>
      <w:r>
        <w:rPr/>
      </w:r>
    </w:p>
    <w:p>
      <w:pPr>
        <w:pStyle w:val="Normal"/>
        <w:ind w:right="310" w:firstLine="708"/>
        <w:jc w:val="both"/>
        <w:rPr>
          <w:b/>
          <w:b/>
          <w:color w:val="000009"/>
          <w:sz w:val="28"/>
          <w:szCs w:val="28"/>
        </w:rPr>
      </w:pPr>
      <w:r>
        <w:rPr>
          <w:b/>
          <w:color w:val="000009"/>
          <w:sz w:val="28"/>
          <w:szCs w:val="28"/>
        </w:rPr>
        <w:t>С</w:t>
      </w:r>
      <w:r>
        <w:rPr>
          <w:b/>
          <w:color w:val="000009"/>
          <w:sz w:val="28"/>
          <w:szCs w:val="28"/>
          <w:vertAlign w:val="subscript"/>
        </w:rPr>
        <w:t>ПРЕДЛ</w:t>
      </w:r>
      <w:r>
        <w:rPr>
          <w:b/>
          <w:color w:val="000009"/>
          <w:sz w:val="28"/>
          <w:szCs w:val="28"/>
        </w:rPr>
        <w:t xml:space="preserve"> = (1000000+1050000+880000+1250000+1100000)/5=1056000 руб.</w:t>
      </w:r>
    </w:p>
    <w:p>
      <w:pPr>
        <w:pStyle w:val="Normal"/>
        <w:ind w:right="310" w:firstLine="708"/>
        <w:jc w:val="both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</w:r>
    </w:p>
    <w:p>
      <w:pPr>
        <w:pStyle w:val="Normal"/>
        <w:ind w:right="310" w:firstLine="708"/>
        <w:jc w:val="both"/>
        <w:rPr/>
      </w:pPr>
      <w:r>
        <w:rPr>
          <w:color w:val="000009"/>
          <w:sz w:val="23"/>
          <w:szCs w:val="23"/>
        </w:rPr>
        <w:t>Сопоставимость данных по ценам на объекты аналоги оценивается разбросом цен предложения относительно средней цены, который не должен превышать 20%:</w:t>
      </w:r>
    </w:p>
    <w:p>
      <w:pPr>
        <w:pStyle w:val="Normal"/>
        <w:ind w:right="310" w:firstLine="708"/>
        <w:jc w:val="center"/>
        <w:rPr>
          <w:b/>
          <w:b/>
          <w:color w:val="000009"/>
          <w:sz w:val="28"/>
          <w:szCs w:val="28"/>
        </w:rPr>
      </w:pPr>
      <w:r>
        <w:rPr>
          <w:b/>
          <w:color w:val="000009"/>
          <w:sz w:val="28"/>
          <w:szCs w:val="28"/>
        </w:rPr>
        <w:t>(|С</w:t>
      </w:r>
      <w:r>
        <w:rPr>
          <w:b/>
          <w:color w:val="000009"/>
          <w:sz w:val="28"/>
          <w:szCs w:val="28"/>
          <w:vertAlign w:val="subscript"/>
        </w:rPr>
        <w:t>i</w:t>
      </w:r>
      <w:r>
        <w:rPr>
          <w:b/>
          <w:color w:val="000009"/>
          <w:sz w:val="28"/>
          <w:szCs w:val="28"/>
        </w:rPr>
        <w:t>-C</w:t>
      </w:r>
      <w:r>
        <w:rPr>
          <w:b/>
          <w:color w:val="000009"/>
          <w:sz w:val="28"/>
          <w:szCs w:val="28"/>
          <w:vertAlign w:val="subscript"/>
        </w:rPr>
        <w:t>ПРЕДЛ</w:t>
      </w:r>
      <w:r>
        <w:rPr>
          <w:b/>
          <w:color w:val="000009"/>
          <w:sz w:val="28"/>
          <w:szCs w:val="28"/>
        </w:rPr>
        <w:t>|/С</w:t>
      </w:r>
      <w:r>
        <w:rPr>
          <w:b/>
          <w:color w:val="000009"/>
          <w:sz w:val="28"/>
          <w:szCs w:val="28"/>
          <w:vertAlign w:val="subscript"/>
        </w:rPr>
        <w:t>ПРЕДЛ</w:t>
      </w:r>
      <w:r>
        <w:rPr>
          <w:b/>
          <w:color w:val="000009"/>
          <w:sz w:val="28"/>
          <w:szCs w:val="28"/>
        </w:rPr>
        <w:t>) × 100% ≤ 20%</w:t>
      </w:r>
    </w:p>
    <w:p>
      <w:pPr>
        <w:pStyle w:val="Normal"/>
        <w:ind w:right="310" w:firstLine="708"/>
        <w:rPr>
          <w:color w:val="000009"/>
        </w:rPr>
      </w:pPr>
      <w:r>
        <w:rPr>
          <w:color w:val="000009"/>
        </w:rPr>
        <w:t>где Сi –значение цены на аналогичные объекты, представленные на рынке, руб.</w:t>
      </w:r>
    </w:p>
    <w:p>
      <w:pPr>
        <w:pStyle w:val="BodyText3"/>
        <w:spacing w:before="0" w:after="0"/>
        <w:ind w:firstLine="284"/>
        <w:jc w:val="right"/>
        <w:rPr>
          <w:sz w:val="24"/>
          <w:szCs w:val="24"/>
          <w:lang w:val="ru-RU"/>
        </w:rPr>
      </w:pPr>
      <w:r>
        <w:rPr>
          <w:sz w:val="24"/>
          <w:szCs w:val="24"/>
        </w:rPr>
        <w:t xml:space="preserve">Таблица </w:t>
      </w:r>
      <w:r>
        <w:rPr>
          <w:sz w:val="24"/>
          <w:szCs w:val="24"/>
          <w:lang w:val="ru-RU"/>
        </w:rPr>
        <w:t>10</w:t>
      </w:r>
    </w:p>
    <w:tbl>
      <w:tblPr>
        <w:tblW w:w="10490" w:type="dxa"/>
        <w:jc w:val="left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1650"/>
        <w:gridCol w:w="4445"/>
        <w:gridCol w:w="1985"/>
        <w:gridCol w:w="1276"/>
        <w:gridCol w:w="1134"/>
      </w:tblGrid>
      <w:tr>
        <w:trPr>
          <w:trHeight w:val="20" w:hRule="atLeast"/>
        </w:trPr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Марка модель</w:t>
            </w:r>
          </w:p>
        </w:tc>
        <w:tc>
          <w:tcPr>
            <w:tcW w:w="444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Ссылка на объявление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Цена предложения (</w:t>
            </w:r>
            <w:r>
              <w:rPr>
                <w:color w:val="000009"/>
                <w:sz w:val="20"/>
                <w:szCs w:val="20"/>
              </w:rPr>
              <w:t>Ц</w:t>
            </w:r>
            <w:r>
              <w:rPr>
                <w:color w:val="000009"/>
                <w:sz w:val="20"/>
                <w:szCs w:val="20"/>
                <w:vertAlign w:val="subscript"/>
              </w:rPr>
              <w:t xml:space="preserve">i), </w:t>
            </w:r>
            <w:r>
              <w:rPr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2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Разброс, %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Интервал</w:t>
            </w:r>
          </w:p>
        </w:tc>
      </w:tr>
      <w:tr>
        <w:trPr>
          <w:trHeight w:val="20" w:hRule="atLeast"/>
        </w:trPr>
        <w:tc>
          <w:tcPr>
            <w:tcW w:w="16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NISSAN Juke</w:t>
            </w:r>
          </w:p>
        </w:tc>
        <w:tc>
          <w:tcPr>
            <w:tcW w:w="444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hyperlink r:id="rId34">
              <w:r>
                <w:rPr>
                  <w:rStyle w:val="Style11"/>
                  <w:sz w:val="20"/>
                  <w:szCs w:val="20"/>
                </w:rPr>
                <w:t>https://auto.ru/cars/used/sale/nissan/juke/1118056504-212a5237/</w:t>
              </w:r>
            </w:hyperlink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1000000</w:t>
            </w:r>
          </w:p>
        </w:tc>
        <w:tc>
          <w:tcPr>
            <w:tcW w:w="127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-5,30%</w:t>
            </w:r>
          </w:p>
        </w:tc>
        <w:tc>
          <w:tcPr>
            <w:tcW w:w="1134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≤ </w:t>
            </w:r>
            <w:r>
              <w:rPr>
                <w:color w:val="000000"/>
                <w:sz w:val="20"/>
                <w:szCs w:val="20"/>
              </w:rPr>
              <w:t>20 %</w:t>
            </w:r>
          </w:p>
        </w:tc>
      </w:tr>
      <w:tr>
        <w:trPr>
          <w:trHeight w:val="20" w:hRule="atLeast"/>
        </w:trPr>
        <w:tc>
          <w:tcPr>
            <w:tcW w:w="16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NISSAN Juke</w:t>
            </w:r>
          </w:p>
        </w:tc>
        <w:tc>
          <w:tcPr>
            <w:tcW w:w="444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hyperlink r:id="rId35">
              <w:r>
                <w:rPr>
                  <w:rStyle w:val="Style11"/>
                  <w:sz w:val="20"/>
                  <w:szCs w:val="20"/>
                </w:rPr>
                <w:t>https://auto.ru/cars/used/sale/nissan/juke/1116868584-e4f0b5b8/</w:t>
              </w:r>
            </w:hyperlink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1050000</w:t>
            </w:r>
          </w:p>
        </w:tc>
        <w:tc>
          <w:tcPr>
            <w:tcW w:w="127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-0,57%</w:t>
            </w:r>
          </w:p>
        </w:tc>
        <w:tc>
          <w:tcPr>
            <w:tcW w:w="1134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≤ </w:t>
            </w:r>
            <w:r>
              <w:rPr>
                <w:color w:val="000000"/>
                <w:sz w:val="20"/>
                <w:szCs w:val="20"/>
              </w:rPr>
              <w:t>20 %</w:t>
            </w:r>
          </w:p>
        </w:tc>
      </w:tr>
      <w:tr>
        <w:trPr>
          <w:trHeight w:val="20" w:hRule="atLeast"/>
        </w:trPr>
        <w:tc>
          <w:tcPr>
            <w:tcW w:w="16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NISSAN Juke</w:t>
            </w:r>
          </w:p>
        </w:tc>
        <w:tc>
          <w:tcPr>
            <w:tcW w:w="444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hyperlink r:id="rId36">
              <w:r>
                <w:rPr>
                  <w:rStyle w:val="Style11"/>
                  <w:sz w:val="20"/>
                  <w:szCs w:val="20"/>
                </w:rPr>
                <w:t>https://auto.ru/cars/used/sale/nissan/juke/1118078213-bbb642bb/</w:t>
              </w:r>
            </w:hyperlink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880000</w:t>
            </w:r>
          </w:p>
        </w:tc>
        <w:tc>
          <w:tcPr>
            <w:tcW w:w="127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-16,67%</w:t>
            </w:r>
          </w:p>
        </w:tc>
        <w:tc>
          <w:tcPr>
            <w:tcW w:w="1134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≤ </w:t>
            </w:r>
            <w:r>
              <w:rPr>
                <w:color w:val="000000"/>
                <w:sz w:val="20"/>
                <w:szCs w:val="20"/>
              </w:rPr>
              <w:t>20 %</w:t>
            </w:r>
          </w:p>
        </w:tc>
      </w:tr>
      <w:tr>
        <w:trPr>
          <w:trHeight w:val="20" w:hRule="atLeast"/>
        </w:trPr>
        <w:tc>
          <w:tcPr>
            <w:tcW w:w="16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NISSAN Juke</w:t>
            </w:r>
          </w:p>
        </w:tc>
        <w:tc>
          <w:tcPr>
            <w:tcW w:w="444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hyperlink r:id="rId37">
              <w:r>
                <w:rPr>
                  <w:rStyle w:val="Style11"/>
                  <w:sz w:val="20"/>
                  <w:szCs w:val="20"/>
                </w:rPr>
                <w:t>https://auto.ru/cars/used/sale/nissan/juke/1118057383-239d8865/</w:t>
              </w:r>
            </w:hyperlink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1250000</w:t>
            </w:r>
          </w:p>
        </w:tc>
        <w:tc>
          <w:tcPr>
            <w:tcW w:w="127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18,37%</w:t>
            </w:r>
          </w:p>
        </w:tc>
        <w:tc>
          <w:tcPr>
            <w:tcW w:w="1134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≤ </w:t>
            </w:r>
            <w:r>
              <w:rPr>
                <w:color w:val="000000"/>
                <w:sz w:val="20"/>
                <w:szCs w:val="20"/>
              </w:rPr>
              <w:t>20 %</w:t>
            </w:r>
          </w:p>
        </w:tc>
      </w:tr>
      <w:tr>
        <w:trPr>
          <w:trHeight w:val="20" w:hRule="atLeast"/>
        </w:trPr>
        <w:tc>
          <w:tcPr>
            <w:tcW w:w="16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NISSAN Juke</w:t>
            </w:r>
          </w:p>
        </w:tc>
        <w:tc>
          <w:tcPr>
            <w:tcW w:w="444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hyperlink r:id="rId38">
              <w:r>
                <w:rPr>
                  <w:rStyle w:val="Style11"/>
                  <w:sz w:val="20"/>
                  <w:szCs w:val="20"/>
                </w:rPr>
                <w:t>https://auto.ru/cars/used/sale/nissan/juke/1106634101-3dce4e3f/</w:t>
              </w:r>
            </w:hyperlink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1100000</w:t>
            </w:r>
          </w:p>
        </w:tc>
        <w:tc>
          <w:tcPr>
            <w:tcW w:w="127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4,17%</w:t>
            </w:r>
          </w:p>
        </w:tc>
        <w:tc>
          <w:tcPr>
            <w:tcW w:w="1134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≤ </w:t>
            </w:r>
            <w:r>
              <w:rPr>
                <w:color w:val="000000"/>
                <w:sz w:val="20"/>
                <w:szCs w:val="20"/>
              </w:rPr>
              <w:t>20 %</w:t>
            </w:r>
          </w:p>
        </w:tc>
      </w:tr>
    </w:tbl>
    <w:p>
      <w:pPr>
        <w:pStyle w:val="Normal"/>
        <w:ind w:right="310" w:firstLine="708"/>
        <w:rPr>
          <w:color w:val="000009"/>
        </w:rPr>
      </w:pPr>
      <w:r>
        <w:rPr>
          <w:color w:val="000009"/>
        </w:rPr>
      </w:r>
    </w:p>
    <w:p>
      <w:pPr>
        <w:pStyle w:val="Normal"/>
        <w:ind w:right="310" w:firstLine="708"/>
        <w:rPr>
          <w:color w:val="000009"/>
        </w:rPr>
      </w:pPr>
      <w:r>
        <w:rPr>
          <w:color w:val="000009"/>
          <w:sz w:val="23"/>
          <w:szCs w:val="23"/>
        </w:rPr>
        <w:t>Все предложения удовлетворяют условию разброса цен, т.е. цена предложения всех объектов сопоставима.</w:t>
      </w:r>
    </w:p>
    <w:p>
      <w:pPr>
        <w:pStyle w:val="Normal"/>
        <w:ind w:right="310" w:firstLine="708"/>
        <w:rPr>
          <w:b/>
          <w:b/>
        </w:rPr>
      </w:pPr>
      <w:r>
        <w:rPr>
          <w:b/>
        </w:rPr>
      </w:r>
    </w:p>
    <w:p>
      <w:pPr>
        <w:pStyle w:val="Normal"/>
        <w:ind w:right="310" w:firstLine="708"/>
        <w:jc w:val="both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  <w:t>С учетом корректировки на коэффициент уторговывания (К</w:t>
      </w:r>
      <w:r>
        <w:rPr>
          <w:color w:val="000009"/>
          <w:sz w:val="16"/>
          <w:szCs w:val="16"/>
        </w:rPr>
        <w:t xml:space="preserve">Т </w:t>
      </w:r>
      <w:r>
        <w:rPr>
          <w:color w:val="000009"/>
          <w:sz w:val="23"/>
          <w:szCs w:val="23"/>
        </w:rPr>
        <w:t>в размере 0,95) получим:</w:t>
      </w:r>
    </w:p>
    <w:p>
      <w:pPr>
        <w:pStyle w:val="Normal"/>
        <w:ind w:right="310" w:firstLine="708"/>
        <w:jc w:val="both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</w:r>
    </w:p>
    <w:p>
      <w:pPr>
        <w:pStyle w:val="Normal"/>
        <w:ind w:right="310" w:firstLine="708"/>
        <w:jc w:val="center"/>
        <w:rPr>
          <w:b/>
          <w:b/>
          <w:color w:val="000009"/>
        </w:rPr>
      </w:pPr>
      <w:r>
        <w:rPr>
          <w:b/>
          <w:color w:val="000009"/>
        </w:rPr>
        <w:t>С</w:t>
      </w:r>
      <w:r>
        <w:rPr>
          <w:b/>
          <w:color w:val="000009"/>
          <w:vertAlign w:val="subscript"/>
        </w:rPr>
        <w:t>СР</w:t>
      </w:r>
      <w:r>
        <w:rPr>
          <w:b/>
          <w:color w:val="000009"/>
        </w:rPr>
        <w:t xml:space="preserve"> = С</w:t>
      </w:r>
      <w:r>
        <w:rPr>
          <w:b/>
          <w:color w:val="000009"/>
          <w:vertAlign w:val="subscript"/>
        </w:rPr>
        <w:t>ПРЕДЛ</w:t>
      </w:r>
      <w:r>
        <w:rPr>
          <w:b/>
          <w:color w:val="000009"/>
        </w:rPr>
        <w:t xml:space="preserve"> × 0,95 = 1056000× 0,95 = 1003200 руб.</w:t>
      </w:r>
    </w:p>
    <w:p>
      <w:pPr>
        <w:pStyle w:val="Normal"/>
        <w:ind w:right="310" w:firstLine="708"/>
        <w:jc w:val="center"/>
        <w:rPr>
          <w:b/>
          <w:b/>
          <w:color w:val="000009"/>
        </w:rPr>
      </w:pPr>
      <w:r>
        <w:rPr>
          <w:b/>
          <w:color w:val="000009"/>
        </w:rPr>
      </w:r>
    </w:p>
    <w:p>
      <w:pPr>
        <w:pStyle w:val="Default1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  <w:t>Среднее значение (П</w:t>
      </w:r>
      <w:r>
        <w:rPr>
          <w:color w:val="000009"/>
          <w:sz w:val="16"/>
          <w:szCs w:val="16"/>
        </w:rPr>
        <w:t>СР</w:t>
      </w:r>
      <w:r>
        <w:rPr>
          <w:color w:val="000009"/>
          <w:sz w:val="23"/>
          <w:szCs w:val="23"/>
        </w:rPr>
        <w:t xml:space="preserve">) среднегодовых пробегов КТС в выборке: </w:t>
      </w:r>
    </w:p>
    <w:p>
      <w:pPr>
        <w:pStyle w:val="Default1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</w:r>
    </w:p>
    <w:p>
      <w:pPr>
        <w:pStyle w:val="Normal"/>
        <w:ind w:right="310" w:firstLine="708"/>
        <w:jc w:val="both"/>
        <w:rPr>
          <w:b/>
          <w:b/>
          <w:color w:val="000009"/>
          <w:sz w:val="23"/>
          <w:szCs w:val="23"/>
        </w:rPr>
      </w:pPr>
      <w:r>
        <w:rPr>
          <w:b/>
          <w:color w:val="000009"/>
          <w:sz w:val="23"/>
          <w:szCs w:val="23"/>
        </w:rPr>
        <w:t>П</w:t>
      </w:r>
      <w:r>
        <w:rPr>
          <w:b/>
          <w:color w:val="000009"/>
          <w:sz w:val="16"/>
          <w:szCs w:val="16"/>
        </w:rPr>
        <w:t xml:space="preserve">СР </w:t>
      </w:r>
      <w:r>
        <w:rPr>
          <w:b/>
          <w:color w:val="000009"/>
          <w:sz w:val="23"/>
          <w:szCs w:val="23"/>
        </w:rPr>
        <w:t>= ΣП</w:t>
      </w:r>
      <w:r>
        <w:rPr>
          <w:b/>
          <w:color w:val="000009"/>
          <w:sz w:val="16"/>
          <w:szCs w:val="16"/>
        </w:rPr>
        <w:t>СРi</w:t>
      </w:r>
      <w:r>
        <w:rPr>
          <w:b/>
          <w:color w:val="000009"/>
          <w:sz w:val="23"/>
          <w:szCs w:val="23"/>
        </w:rPr>
        <w:t>/i = (8264+12727+13058+10744+7438)/5 = 10446 тыс. км</w:t>
      </w:r>
    </w:p>
    <w:p>
      <w:pPr>
        <w:pStyle w:val="Normal"/>
        <w:ind w:right="310" w:firstLine="708"/>
        <w:jc w:val="both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</w:r>
    </w:p>
    <w:p>
      <w:pPr>
        <w:pStyle w:val="Default1"/>
        <w:ind w:firstLine="708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  <w:t xml:space="preserve">Фактический среднегодовой пробег объекта исследования составляет </w:t>
      </w:r>
      <w:r>
        <w:rPr>
          <w:color w:val="000000" w:themeColor="text1"/>
        </w:rPr>
        <w:t>129092</w:t>
      </w:r>
      <w:r>
        <w:rPr>
          <w:color w:val="000009"/>
          <w:sz w:val="23"/>
          <w:szCs w:val="23"/>
        </w:rPr>
        <w:t xml:space="preserve">/12.1 = 10669 тыс. км. </w:t>
      </w:r>
    </w:p>
    <w:p>
      <w:pPr>
        <w:pStyle w:val="Default1"/>
        <w:ind w:firstLine="708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</w:r>
    </w:p>
    <w:p>
      <w:pPr>
        <w:pStyle w:val="Default1"/>
        <w:ind w:firstLine="708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  <w:t xml:space="preserve">Отклонение среднегодового пробега оцениваемого КТС от среднего значения среднегодовых пробегов КТС аналогов в выборке составляет: 10669 – </w:t>
      </w:r>
      <w:r>
        <w:rPr>
          <w:sz w:val="23"/>
          <w:szCs w:val="23"/>
        </w:rPr>
        <w:t xml:space="preserve">10446 </w:t>
      </w:r>
      <w:r>
        <w:rPr>
          <w:color w:val="000009"/>
          <w:sz w:val="23"/>
          <w:szCs w:val="23"/>
        </w:rPr>
        <w:t xml:space="preserve">= 222 тыс. км </w:t>
      </w:r>
    </w:p>
    <w:p>
      <w:pPr>
        <w:pStyle w:val="Default1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</w:r>
    </w:p>
    <w:p>
      <w:pPr>
        <w:pStyle w:val="Default1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  <w:t>Таким образом, согласно таблице №2 приложения 3.2 «Корректировка средней цены КТС в зависимости недопробега/перепробега» к части III Методических рекомендаций, то значение П</w:t>
      </w:r>
      <w:r>
        <w:rPr>
          <w:color w:val="000009"/>
          <w:sz w:val="16"/>
          <w:szCs w:val="16"/>
        </w:rPr>
        <w:t xml:space="preserve">П </w:t>
      </w:r>
      <w:r>
        <w:rPr>
          <w:color w:val="000009"/>
          <w:sz w:val="23"/>
          <w:szCs w:val="23"/>
        </w:rPr>
        <w:t xml:space="preserve">принимаем равным 0% (отклонение менее 1,5 тыс. км). </w:t>
      </w:r>
    </w:p>
    <w:p>
      <w:pPr>
        <w:pStyle w:val="Normal"/>
        <w:ind w:right="310" w:firstLine="708"/>
        <w:jc w:val="both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  <w:t>Подставив полученные значения в формулу расчета рыночной стоимости, получим:</w:t>
      </w:r>
    </w:p>
    <w:p>
      <w:pPr>
        <w:pStyle w:val="Normal"/>
        <w:ind w:right="310" w:firstLine="708"/>
        <w:jc w:val="both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</w:r>
    </w:p>
    <w:p>
      <w:pPr>
        <w:pStyle w:val="Normal"/>
        <w:ind w:right="310" w:firstLine="708"/>
        <w:jc w:val="center"/>
        <w:rPr>
          <w:color w:val="000009"/>
          <w:sz w:val="23"/>
          <w:szCs w:val="23"/>
        </w:rPr>
      </w:pPr>
      <w:r>
        <w:rPr/>
        <w:drawing>
          <wp:inline distT="0" distB="0" distL="0" distR="9525">
            <wp:extent cx="3000375" cy="552450"/>
            <wp:effectExtent l="0" t="0" r="0" b="0"/>
            <wp:docPr id="22" name="Рисунок 15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156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right="310" w:firstLine="708"/>
        <w:jc w:val="center"/>
        <w:rPr>
          <w:b/>
          <w:b/>
          <w:color w:val="000009"/>
        </w:rPr>
      </w:pPr>
      <w:r>
        <w:rPr>
          <w:b/>
          <w:color w:val="000009"/>
        </w:rPr>
      </w:r>
    </w:p>
    <w:p>
      <w:pPr>
        <w:pStyle w:val="Normal"/>
        <w:ind w:right="310" w:firstLine="708"/>
        <w:jc w:val="center"/>
        <w:rPr>
          <w:b/>
          <w:b/>
          <w:color w:val="000009"/>
        </w:rPr>
      </w:pPr>
      <w:r>
        <w:rPr>
          <w:b/>
          <w:color w:val="000009"/>
        </w:rPr>
        <w:t>=1003200 х (1+(0/100)+(0/100))+0 = 1003200 рублей</w:t>
      </w:r>
    </w:p>
    <w:p>
      <w:pPr>
        <w:pStyle w:val="Normal"/>
        <w:ind w:right="310" w:firstLine="708"/>
        <w:jc w:val="both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</w:r>
    </w:p>
    <w:p>
      <w:pPr>
        <w:pStyle w:val="Normal"/>
        <w:ind w:right="310" w:firstLine="708"/>
        <w:jc w:val="both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  <w:t>Для удобства анализа результаты и исходные данные расчетов сведены в таблицу:</w:t>
      </w:r>
    </w:p>
    <w:p>
      <w:pPr>
        <w:pStyle w:val="BodyText3"/>
        <w:spacing w:before="0" w:after="0"/>
        <w:ind w:firstLine="284"/>
        <w:jc w:val="right"/>
        <w:rPr>
          <w:sz w:val="24"/>
          <w:szCs w:val="24"/>
          <w:lang w:val="ru-RU"/>
        </w:rPr>
      </w:pPr>
      <w:r>
        <w:rPr>
          <w:sz w:val="24"/>
          <w:szCs w:val="24"/>
        </w:rPr>
        <w:t xml:space="preserve">Таблица </w:t>
      </w:r>
      <w:r>
        <w:rPr>
          <w:sz w:val="24"/>
          <w:szCs w:val="24"/>
          <w:lang w:val="ru-RU"/>
        </w:rPr>
        <w:t>11</w:t>
      </w:r>
    </w:p>
    <w:p>
      <w:pPr>
        <w:pStyle w:val="Normal"/>
        <w:ind w:right="310" w:firstLine="708"/>
        <w:jc w:val="both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</w:r>
    </w:p>
    <w:tbl>
      <w:tblPr>
        <w:tblW w:w="5000" w:type="pct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6746"/>
        <w:gridCol w:w="3601"/>
      </w:tblGrid>
      <w:tr>
        <w:trPr>
          <w:trHeight w:val="20" w:hRule="atLeast"/>
        </w:trPr>
        <w:tc>
          <w:tcPr>
            <w:tcW w:w="6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Параметр</w:t>
            </w:r>
          </w:p>
        </w:tc>
        <w:tc>
          <w:tcPr>
            <w:tcW w:w="360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Значение</w:t>
            </w:r>
          </w:p>
        </w:tc>
      </w:tr>
      <w:tr>
        <w:trPr>
          <w:trHeight w:val="20" w:hRule="atLeast"/>
        </w:trPr>
        <w:tc>
          <w:tcPr>
            <w:tcW w:w="67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Марка, модель</w:t>
            </w:r>
          </w:p>
        </w:tc>
        <w:tc>
          <w:tcPr>
            <w:tcW w:w="360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NISSAN Juke </w:t>
            </w:r>
          </w:p>
        </w:tc>
      </w:tr>
      <w:tr>
        <w:trPr>
          <w:trHeight w:val="20" w:hRule="atLeast"/>
        </w:trPr>
        <w:tc>
          <w:tcPr>
            <w:tcW w:w="67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Дата изготовления (принятая)</w:t>
            </w:r>
          </w:p>
        </w:tc>
        <w:tc>
          <w:tcPr>
            <w:tcW w:w="360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18.04.2011г. </w:t>
            </w:r>
          </w:p>
        </w:tc>
      </w:tr>
      <w:tr>
        <w:trPr>
          <w:trHeight w:val="20" w:hRule="atLeast"/>
        </w:trPr>
        <w:tc>
          <w:tcPr>
            <w:tcW w:w="67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Дата оценки</w:t>
            </w:r>
          </w:p>
        </w:tc>
        <w:tc>
          <w:tcPr>
            <w:tcW w:w="360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19 января 2023г.</w:t>
            </w:r>
          </w:p>
        </w:tc>
      </w:tr>
      <w:tr>
        <w:trPr>
          <w:trHeight w:val="20" w:hRule="atLeast"/>
        </w:trPr>
        <w:tc>
          <w:tcPr>
            <w:tcW w:w="67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Срок эксплуатации, лет</w:t>
            </w:r>
          </w:p>
        </w:tc>
        <w:tc>
          <w:tcPr>
            <w:tcW w:w="360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  <w:lang w:val="en-US"/>
              </w:rPr>
              <w:t>12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</w:tr>
      <w:tr>
        <w:trPr>
          <w:trHeight w:val="20" w:hRule="atLeast"/>
        </w:trPr>
        <w:tc>
          <w:tcPr>
            <w:tcW w:w="67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Средняя рыночная цена предложений к продаже идентичных КТС, руб</w:t>
            </w:r>
          </w:p>
        </w:tc>
        <w:tc>
          <w:tcPr>
            <w:tcW w:w="360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  <w:lang w:val="en-US"/>
              </w:rPr>
              <w:t>1056000</w:t>
            </w:r>
          </w:p>
        </w:tc>
      </w:tr>
      <w:tr>
        <w:trPr>
          <w:trHeight w:val="20" w:hRule="atLeast"/>
        </w:trPr>
        <w:tc>
          <w:tcPr>
            <w:tcW w:w="67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Коэффициент торга КТ</w:t>
            </w:r>
          </w:p>
        </w:tc>
        <w:tc>
          <w:tcPr>
            <w:tcW w:w="360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0,95</w:t>
            </w:r>
          </w:p>
        </w:tc>
      </w:tr>
      <w:tr>
        <w:trPr>
          <w:trHeight w:val="20" w:hRule="atLeast"/>
        </w:trPr>
        <w:tc>
          <w:tcPr>
            <w:tcW w:w="67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Средняя рыночная цена КТС ССР, руб</w:t>
            </w:r>
          </w:p>
        </w:tc>
        <w:tc>
          <w:tcPr>
            <w:tcW w:w="360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  <w:lang w:val="en-US"/>
              </w:rPr>
              <w:t>1003200</w:t>
            </w:r>
          </w:p>
        </w:tc>
      </w:tr>
      <w:tr>
        <w:trPr>
          <w:trHeight w:val="20" w:hRule="atLeast"/>
        </w:trPr>
        <w:tc>
          <w:tcPr>
            <w:tcW w:w="67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Среднее значение среднегодовых пробегов идентичных КТС (ПСР), тыс. км</w:t>
            </w:r>
          </w:p>
        </w:tc>
        <w:tc>
          <w:tcPr>
            <w:tcW w:w="360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  <w:lang w:val="en-US"/>
              </w:rPr>
              <w:t>10446</w:t>
            </w:r>
          </w:p>
        </w:tc>
      </w:tr>
      <w:tr>
        <w:trPr>
          <w:trHeight w:val="20" w:hRule="atLeast"/>
        </w:trPr>
        <w:tc>
          <w:tcPr>
            <w:tcW w:w="67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Фактическое значение среднегодового</w:t>
              <w:br/>
              <w:t>пробега (ПСГФАКТ), тыс. км</w:t>
            </w:r>
          </w:p>
        </w:tc>
        <w:tc>
          <w:tcPr>
            <w:tcW w:w="360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  <w:lang w:val="en-US"/>
              </w:rPr>
              <w:t>10669</w:t>
            </w:r>
          </w:p>
        </w:tc>
      </w:tr>
      <w:tr>
        <w:trPr>
          <w:trHeight w:val="20" w:hRule="atLeast"/>
        </w:trPr>
        <w:tc>
          <w:tcPr>
            <w:tcW w:w="67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Принятое значение ПП, %</w:t>
            </w:r>
          </w:p>
        </w:tc>
        <w:tc>
          <w:tcPr>
            <w:tcW w:w="360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0%</w:t>
            </w:r>
          </w:p>
        </w:tc>
      </w:tr>
      <w:tr>
        <w:trPr>
          <w:trHeight w:val="20" w:hRule="atLeast"/>
        </w:trPr>
        <w:tc>
          <w:tcPr>
            <w:tcW w:w="67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Дополнительное увеличение (уменьшение) стоимости КТС (СДОП), руб</w:t>
            </w:r>
          </w:p>
        </w:tc>
        <w:tc>
          <w:tcPr>
            <w:tcW w:w="360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0%</w:t>
            </w:r>
          </w:p>
        </w:tc>
      </w:tr>
      <w:tr>
        <w:trPr>
          <w:trHeight w:val="20" w:hRule="atLeast"/>
        </w:trPr>
        <w:tc>
          <w:tcPr>
            <w:tcW w:w="67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Дополнительное увеличение (уменьшение) стоимости КТС (ПЭ), %</w:t>
            </w:r>
          </w:p>
        </w:tc>
        <w:tc>
          <w:tcPr>
            <w:tcW w:w="360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0%</w:t>
            </w:r>
          </w:p>
        </w:tc>
      </w:tr>
      <w:tr>
        <w:trPr>
          <w:trHeight w:val="20" w:hRule="atLeast"/>
        </w:trPr>
        <w:tc>
          <w:tcPr>
            <w:tcW w:w="67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Рыночная стоимость КТС, руб</w:t>
            </w:r>
          </w:p>
        </w:tc>
        <w:tc>
          <w:tcPr>
            <w:tcW w:w="360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1003200</w:t>
            </w:r>
            <w:r>
              <w:rPr>
                <w:color w:val="000000"/>
                <w:sz w:val="20"/>
                <w:szCs w:val="20"/>
              </w:rPr>
              <w:t> </w:t>
            </w:r>
          </w:p>
        </w:tc>
      </w:tr>
    </w:tbl>
    <w:p>
      <w:pPr>
        <w:pStyle w:val="Normal"/>
        <w:ind w:right="310" w:firstLine="708"/>
        <w:jc w:val="both"/>
        <w:rPr>
          <w:color w:val="000009"/>
          <w:sz w:val="23"/>
          <w:szCs w:val="23"/>
        </w:rPr>
      </w:pPr>
      <w:r>
        <w:rPr>
          <w:color w:val="000009"/>
          <w:sz w:val="23"/>
          <w:szCs w:val="23"/>
        </w:rPr>
      </w:r>
    </w:p>
    <w:p>
      <w:pPr>
        <w:pStyle w:val="Default1"/>
        <w:ind w:firstLine="708"/>
        <w:rPr/>
      </w:pPr>
      <w:r>
        <w:rPr>
          <w:color w:val="000009"/>
          <w:sz w:val="23"/>
          <w:szCs w:val="23"/>
        </w:rPr>
        <w:t xml:space="preserve">Таким образом, рыночная стоимость транспортного средства NISSAN Juke, регистрационный знак </w:t>
      </w:r>
      <w:r>
        <w:rPr>
          <w:color w:val="000000"/>
          <w:sz w:val="23"/>
          <w:szCs w:val="23"/>
        </w:rPr>
        <w:t>********</w:t>
      </w:r>
      <w:r>
        <w:rPr>
          <w:color w:val="000009"/>
          <w:sz w:val="23"/>
          <w:szCs w:val="23"/>
        </w:rPr>
        <w:t xml:space="preserve">, по состоянию на </w:t>
      </w:r>
      <w:r>
        <w:rPr/>
        <w:t xml:space="preserve">19 января 2023г. </w:t>
      </w:r>
      <w:r>
        <w:rPr>
          <w:color w:val="000009"/>
          <w:sz w:val="23"/>
          <w:szCs w:val="23"/>
        </w:rPr>
        <w:t xml:space="preserve">составляет (округленно): </w:t>
      </w:r>
      <w:r>
        <w:rPr>
          <w:b/>
        </w:rPr>
        <w:t xml:space="preserve">   1</w:t>
      </w:r>
      <w:r>
        <w:rPr>
          <w:b/>
          <w:lang w:val="en-US"/>
        </w:rPr>
        <w:t> </w:t>
      </w:r>
      <w:r>
        <w:rPr>
          <w:b/>
        </w:rPr>
        <w:t xml:space="preserve">003 200,00 РУБ </w:t>
      </w:r>
    </w:p>
    <w:p>
      <w:pPr>
        <w:pStyle w:val="Normal"/>
        <w:ind w:right="310" w:firstLine="708"/>
        <w:jc w:val="both"/>
        <w:rPr/>
      </w:pPr>
      <w:r>
        <w:rPr/>
      </w:r>
    </w:p>
    <w:p>
      <w:pPr>
        <w:pStyle w:val="Normal"/>
        <w:ind w:right="310" w:firstLine="708"/>
        <w:jc w:val="center"/>
        <w:rPr>
          <w:b/>
          <w:b/>
        </w:rPr>
      </w:pPr>
      <w:r>
        <w:rPr>
          <w:b/>
        </w:rPr>
        <w:t>Расчет стоимости годных остатков.</w:t>
      </w:r>
    </w:p>
    <w:p>
      <w:pPr>
        <w:pStyle w:val="Normal"/>
        <w:ind w:right="310" w:firstLine="708"/>
        <w:jc w:val="center"/>
        <w:rPr>
          <w:b/>
          <w:b/>
        </w:rPr>
      </w:pPr>
      <w:r>
        <w:rPr>
          <w:b/>
        </w:rPr>
      </w:r>
    </w:p>
    <w:p>
      <w:pPr>
        <w:pStyle w:val="Normal"/>
        <w:rPr/>
      </w:pPr>
      <w:r>
        <w:rPr/>
        <w:t>Расчет стоимости Сi приведен в таблице 9.</w:t>
      </w:r>
    </w:p>
    <w:p>
      <w:pPr>
        <w:pStyle w:val="Normal"/>
        <w:jc w:val="right"/>
        <w:rPr/>
      </w:pPr>
      <w:r>
        <w:rPr/>
        <w:t>Таблица 9</w:t>
      </w:r>
    </w:p>
    <w:tbl>
      <w:tblPr>
        <w:tblW w:w="10557" w:type="dxa"/>
        <w:jc w:val="left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703"/>
        <w:gridCol w:w="7742"/>
        <w:gridCol w:w="2112"/>
      </w:tblGrid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№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Наименование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Соотношение, %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Крыло переднее прав.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0,80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Решетка (облицовка) радиатора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0,80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Лонжерон передний лев.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0,80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Лонжерон передний прав.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0,80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5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Брызговик крыла прав.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1,40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6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Стекло ветрового окна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1,70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7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Рамка радиатора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1,40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8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Щиток передка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0,30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9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Бампер задний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1,60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10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Крыло заднее (боковина) в сборе с арками прав.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2,10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11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Стекло окна задка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1,90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12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Панель задка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0,80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13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Пол багажника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0,80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14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Облицовки багажника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1,10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15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Крышка багажника (дверь задка)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1,60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16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Передняя стойка боковины прав.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1,40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17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Средняя стойка боковины с порогом и частью пола прав.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1,40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18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Облицовки стоек боковины, порогов, уплотнители, центральная консоль, противосолнечные козырьки, плафоны освещения, коврики пола, зеркало заднего вида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2,50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19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Двери в сборе с арматурой перед.прав.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1,90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20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Двери в сборе с арматурой задн.прав.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1,90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21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Панель крыши в сборе с поперечинами и верх.частями стоек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2,70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22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Панель приборов в сборе с щитком приборов, решетками, вещевым ящиком, карманами и т.д.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2,50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23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Двигатель, навесное, охлаждение, впускная и выпускная система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10,70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24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Топливная система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2,50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25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Трансмиссия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4,50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26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>
                <w:lang w:val="ru-RU"/>
              </w:rPr>
            </w:pPr>
            <w:r>
              <w:rPr/>
              <w:t xml:space="preserve">Подвеска передняя </w:t>
            </w:r>
            <w:r>
              <w:rPr>
                <w:lang w:val="ru-RU"/>
              </w:rPr>
              <w:t>частично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3,30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27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Подвеска задняя в сборе с поперечиной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4,50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28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Провода свечные с катушками (комплект)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0,50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29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Монтажный блок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0,50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30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Блок управления двигателем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1,00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31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Фонарь задний лев.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0,50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32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Фонарь задний прав.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0,50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33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Зеркало заднего вида боковое лев.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0,80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34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Зеркало заднего вида боковое прав.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0,80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35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Блок отопителя салона в сборе (корпус, двигатель, радиаторы)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2,10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36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Насос кондиционера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0,50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37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Конденсатор в сборе с осушителем, кожухом, вентилятором, трубками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0,60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38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Фара прав.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1,10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39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Жгут проводов ДВС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0,90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40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Жгут проводов панели приборов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0,80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41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Остальные жгуты проводов (все)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0,30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42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Фара противотуманная лев.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0,80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43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/>
            </w:pPr>
            <w:r>
              <w:rPr/>
              <w:t>Фара противотуманная прав.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0,80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44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>
                <w:lang w:val="ru-RU"/>
              </w:rPr>
            </w:pPr>
            <w:r>
              <w:rPr>
                <w:lang w:val="ru-RU"/>
              </w:rPr>
              <w:t>Сиденья - частично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0,80</w:t>
            </w:r>
          </w:p>
        </w:tc>
      </w:tr>
      <w:tr>
        <w:trPr>
          <w:trHeight w:val="20" w:hRule="atLeast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jc w:val="center"/>
              <w:rPr>
                <w:b/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45</w:t>
            </w:r>
          </w:p>
        </w:tc>
        <w:tc>
          <w:tcPr>
            <w:tcW w:w="7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Style31"/>
              <w:rPr>
                <w:lang w:val="ru-RU"/>
              </w:rPr>
            </w:pPr>
            <w:r>
              <w:rPr>
                <w:lang w:val="ru-RU"/>
              </w:rPr>
              <w:t xml:space="preserve">Прочее 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jc w:val="center"/>
              <w:rPr/>
            </w:pPr>
            <w:r>
              <w:rPr/>
              <w:t>2,20</w:t>
            </w:r>
          </w:p>
        </w:tc>
      </w:tr>
    </w:tbl>
    <w:p>
      <w:pPr>
        <w:pStyle w:val="Caption"/>
        <w:rPr>
          <w:lang w:val="en-US"/>
        </w:rPr>
      </w:pPr>
      <w:r>
        <w:rPr>
          <w:lang w:val="en-US"/>
        </w:rPr>
      </w:r>
    </w:p>
    <w:tbl>
      <w:tblPr>
        <w:tblW w:w="10454" w:type="dxa"/>
        <w:jc w:val="left"/>
        <w:tblInd w:w="-106" w:type="dxa"/>
        <w:tblBorders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2102"/>
        <w:gridCol w:w="8351"/>
      </w:tblGrid>
      <w:tr>
        <w:trPr>
          <w:trHeight w:val="285" w:hRule="atLeast"/>
        </w:trPr>
        <w:tc>
          <w:tcPr>
            <w:tcW w:w="2102" w:type="dxa"/>
            <w:tcBorders/>
            <w:shd w:fill="auto" w:val="clear"/>
          </w:tcPr>
          <w:p>
            <w:pPr>
              <w:pStyle w:val="Caption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Итого:</w:t>
            </w:r>
          </w:p>
        </w:tc>
        <w:tc>
          <w:tcPr>
            <w:tcW w:w="8351" w:type="dxa"/>
            <w:tcBorders/>
            <w:shd w:fill="auto" w:val="clear"/>
          </w:tcPr>
          <w:p>
            <w:pPr>
              <w:pStyle w:val="Caption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73,20</w:t>
            </w:r>
          </w:p>
        </w:tc>
      </w:tr>
    </w:tbl>
    <w:p>
      <w:pPr>
        <w:pStyle w:val="Normal"/>
        <w:rPr/>
      </w:pPr>
      <w:r>
        <w:rPr/>
      </w:r>
    </w:p>
    <w:p>
      <w:pPr>
        <w:pStyle w:val="Normal"/>
        <w:ind w:right="706" w:hanging="0"/>
        <w:jc w:val="center"/>
        <w:rPr/>
      </w:pPr>
      <w:r>
        <w:rPr/>
        <w:t>Расчет годных остатков КТС (Сго):</w:t>
      </w:r>
    </w:p>
    <w:p>
      <w:pPr>
        <w:pStyle w:val="Normal"/>
        <w:ind w:left="567" w:right="706" w:hanging="0"/>
        <w:jc w:val="center"/>
        <w:rPr/>
      </w:pPr>
      <w:r>
        <w:rPr/>
        <w:t>Тип КТС: легковой</w:t>
      </w:r>
    </w:p>
    <w:p>
      <w:pPr>
        <w:pStyle w:val="Normal"/>
        <w:ind w:left="567" w:right="706" w:hanging="0"/>
        <w:jc w:val="center"/>
        <w:rPr/>
      </w:pPr>
      <w:r>
        <w:rPr/>
        <w:t>Сго = Сктс * Кз * Кв * Коп * ((С1 + С2 +...+ Сn) / 100) = 245967,99,</w:t>
      </w:r>
    </w:p>
    <w:p>
      <w:pPr>
        <w:pStyle w:val="Normal"/>
        <w:ind w:left="567" w:right="706" w:hanging="0"/>
        <w:jc w:val="center"/>
        <w:rPr/>
      </w:pPr>
      <w:r>
        <w:rPr/>
        <w:t>где:</w:t>
      </w:r>
    </w:p>
    <w:p>
      <w:pPr>
        <w:pStyle w:val="Normal"/>
        <w:ind w:left="567" w:right="706" w:hanging="0"/>
        <w:jc w:val="center"/>
        <w:rPr/>
      </w:pPr>
      <w:r>
        <w:rPr/>
        <w:t>Сктс - стоимость КТС в неповрежденном виде на момент определения стоимости годных остатков, Ц = 1003200 РУБ;</w:t>
      </w:r>
    </w:p>
    <w:p>
      <w:pPr>
        <w:pStyle w:val="Normal"/>
        <w:ind w:left="567" w:right="706" w:hanging="0"/>
        <w:jc w:val="center"/>
        <w:rPr/>
      </w:pPr>
      <w:r>
        <w:rPr/>
        <w:t>Кз - коэффициент, учитывающий затраты на дефектовку, разборку, хранение, продажу, Кз = 0,7;</w:t>
      </w:r>
    </w:p>
    <w:p>
      <w:pPr>
        <w:pStyle w:val="Normal"/>
        <w:ind w:left="567" w:right="706" w:hanging="0"/>
        <w:jc w:val="center"/>
        <w:rPr/>
      </w:pPr>
      <w:r>
        <w:rPr/>
        <w:t>Кв - коэффициент, учитывающий срок эксплуатации КТС на момент повреждения и спрос на его поврежденные детали, Кв = 0,55;</w:t>
      </w:r>
    </w:p>
    <w:p>
      <w:pPr>
        <w:pStyle w:val="Normal"/>
        <w:ind w:left="567" w:right="706" w:hanging="0"/>
        <w:jc w:val="center"/>
        <w:rPr/>
      </w:pPr>
      <w:r>
        <w:rPr/>
        <w:t>Коп - коэффициент, учитывающий объём(степень) механических повреждений автомобиля, Коп = 0,87;</w:t>
      </w:r>
    </w:p>
    <w:p>
      <w:pPr>
        <w:pStyle w:val="Normal"/>
        <w:ind w:left="567" w:right="706" w:hanging="0"/>
        <w:jc w:val="center"/>
        <w:rPr/>
      </w:pPr>
      <w:r>
        <w:rPr/>
        <w:t>С1, С2, Сn - процентное соотношение(вес) стоимости неповрежденных элементов к стоимости автомобиля, %;</w:t>
      </w:r>
    </w:p>
    <w:p>
      <w:pPr>
        <w:pStyle w:val="Normal"/>
        <w:ind w:left="567" w:right="706" w:hanging="0"/>
        <w:jc w:val="center"/>
        <w:rPr/>
      </w:pPr>
      <w:r>
        <w:rPr/>
        <w:t>n - количество неповрежденных составных частей, n = 43;</w:t>
      </w:r>
    </w:p>
    <w:p>
      <w:pPr>
        <w:pStyle w:val="Normal"/>
        <w:ind w:left="567" w:right="706" w:hanging="0"/>
        <w:jc w:val="center"/>
        <w:rPr/>
      </w:pPr>
      <w:r>
        <w:rPr/>
        <w:t>Стоимость годных остатков КТС (Сго) - 245967,99 РУБ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clear" w:pos="708"/>
          <w:tab w:val="left" w:pos="57" w:leader="none"/>
        </w:tabs>
        <w:ind w:firstLine="284"/>
        <w:rPr>
          <w:b/>
          <w:b/>
          <w:bCs/>
        </w:rPr>
      </w:pPr>
      <w:r>
        <w:rPr>
          <w:b/>
          <w:bCs/>
        </w:rPr>
        <w:t>Величина суммы годных остатков составляет: 245 967,99 РУБ (Двести сорок пять тысяч девятьсот шестьдесят семь рублей 99 копеек)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  <w:t>ВЫВОДЫ</w:t>
      </w:r>
    </w:p>
    <w:p>
      <w:pPr>
        <w:pStyle w:val="Normal"/>
        <w:spacing w:before="120" w:after="0"/>
        <w:ind w:firstLine="720"/>
        <w:jc w:val="both"/>
        <w:rPr>
          <w:i/>
          <w:i/>
        </w:rPr>
      </w:pPr>
      <w:r>
        <w:rPr>
          <w:i/>
        </w:rPr>
        <w:t>В соответствии с п. 2.10 с Методического руководства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оценки. Печатается по решению научно-методического совета ФБУ РФЦСЭ при Минюсте России, Москва 2018г: «…Результат расчетов стоимости КТС, восстановительного ремонта или размера ущерба при формировании выводов исследования округляется до сотен рублей.»</w:t>
      </w:r>
    </w:p>
    <w:p>
      <w:pPr>
        <w:pStyle w:val="Normal"/>
        <w:spacing w:before="120" w:after="0"/>
        <w:ind w:firstLine="720"/>
        <w:jc w:val="both"/>
        <w:rPr>
          <w:b/>
          <w:b/>
          <w:iCs/>
          <w:szCs w:val="22"/>
        </w:rPr>
      </w:pPr>
      <w:r>
        <w:rPr>
          <w:b/>
          <w:iCs/>
          <w:szCs w:val="22"/>
        </w:rPr>
      </w:r>
    </w:p>
    <w:p>
      <w:pPr>
        <w:pStyle w:val="Normal"/>
        <w:spacing w:before="120" w:after="0"/>
        <w:ind w:firstLine="720"/>
        <w:jc w:val="both"/>
        <w:rPr/>
      </w:pPr>
      <w:r>
        <w:rPr>
          <w:b/>
          <w:iCs/>
          <w:szCs w:val="22"/>
        </w:rPr>
        <w:t xml:space="preserve">По вопросу №1: </w:t>
      </w:r>
      <w:r>
        <w:rPr/>
        <w:t xml:space="preserve">Определить величину размера расходов на восстановительный ремонт транспортного средства NISSAN Juke, регистрационный знак </w:t>
      </w:r>
      <w:r>
        <w:rPr>
          <w:color w:val="000000"/>
        </w:rPr>
        <w:t>********</w:t>
      </w:r>
      <w:r>
        <w:rPr/>
        <w:t xml:space="preserve"> в соответствии с Методическим руководством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оценки. Печатается по решению научно-методического совета ФБУ РФЦСЭ при Минюсте России, Москва 2018г</w:t>
      </w:r>
    </w:p>
    <w:p>
      <w:pPr>
        <w:pStyle w:val="Normal"/>
        <w:tabs>
          <w:tab w:val="clear" w:pos="708"/>
          <w:tab w:val="left" w:pos="426" w:leader="none"/>
        </w:tabs>
        <w:spacing w:before="120" w:after="0"/>
        <w:jc w:val="both"/>
        <w:rPr>
          <w:b/>
          <w:b/>
          <w:iCs/>
          <w:szCs w:val="22"/>
        </w:rPr>
      </w:pPr>
      <w:r>
        <w:rPr>
          <w:b/>
          <w:iCs/>
          <w:szCs w:val="22"/>
        </w:rPr>
      </w:r>
    </w:p>
    <w:p>
      <w:pPr>
        <w:pStyle w:val="Normal"/>
        <w:jc w:val="both"/>
        <w:rPr/>
      </w:pPr>
      <w:r>
        <w:rPr>
          <w:b/>
          <w:i/>
        </w:rPr>
        <w:t xml:space="preserve">Рыночная стоимость восстановительного ремонта транспортного средства NISSAN Juke, регистрационный знак </w:t>
      </w:r>
      <w:r>
        <w:rPr>
          <w:b/>
          <w:i/>
          <w:color w:val="000000"/>
        </w:rPr>
        <w:t>********</w:t>
      </w:r>
      <w:r>
        <w:rPr>
          <w:b/>
          <w:i/>
        </w:rPr>
        <w:t xml:space="preserve"> составляет - 1 225 200,00 РУБ. (Один миллион двести двадцать пять тысяч двести рублей 00 копеек).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spacing w:before="120" w:after="0"/>
        <w:ind w:firstLine="720"/>
        <w:jc w:val="both"/>
        <w:rPr/>
      </w:pPr>
      <w:r>
        <w:rPr>
          <w:b/>
          <w:iCs/>
          <w:szCs w:val="22"/>
        </w:rPr>
        <w:t xml:space="preserve">По вопросу №2: </w:t>
      </w:r>
      <w:r>
        <w:rPr>
          <w:iCs/>
          <w:szCs w:val="22"/>
        </w:rPr>
        <w:t xml:space="preserve">Определить величину размера рыночной стоимости и стоимости годных остатков транспортного средства NISSAN Juke, регистрационный знак </w:t>
      </w:r>
      <w:r>
        <w:rPr>
          <w:iCs/>
          <w:color w:val="000000"/>
          <w:szCs w:val="22"/>
        </w:rPr>
        <w:t>********</w:t>
      </w:r>
      <w:r>
        <w:rPr>
          <w:iCs/>
          <w:szCs w:val="22"/>
        </w:rPr>
        <w:t>, соответствии с Методическим руководством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оценки. Печатается по решению научно-методического совета ФБУ РФЦСЭ при Минюсте России, Москва 2018г</w:t>
      </w:r>
    </w:p>
    <w:p>
      <w:pPr>
        <w:pStyle w:val="Normal"/>
        <w:spacing w:before="120" w:after="0"/>
        <w:ind w:firstLine="720"/>
        <w:jc w:val="both"/>
        <w:rPr/>
      </w:pPr>
      <w:r>
        <w:rPr/>
      </w:r>
    </w:p>
    <w:p>
      <w:pPr>
        <w:pStyle w:val="Normal"/>
        <w:jc w:val="both"/>
        <w:rPr/>
      </w:pPr>
      <w:r>
        <w:rPr>
          <w:b/>
          <w:i/>
        </w:rPr>
        <w:t xml:space="preserve">Рыночная стоимость транспортного средства NISSAN Juke, регистрационный знак </w:t>
      </w:r>
      <w:r>
        <w:rPr>
          <w:b/>
          <w:i/>
          <w:color w:val="000000"/>
        </w:rPr>
        <w:t>********</w:t>
      </w:r>
      <w:r>
        <w:rPr>
          <w:b/>
          <w:i/>
        </w:rPr>
        <w:t xml:space="preserve"> составляет – 1 003 200,00 РУБ (Один миллион три тысячи двести рублей 00 копеек)</w:t>
      </w:r>
    </w:p>
    <w:p>
      <w:pPr>
        <w:pStyle w:val="Normal"/>
        <w:jc w:val="both"/>
        <w:rPr>
          <w:b/>
          <w:b/>
          <w:i/>
          <w:i/>
        </w:rPr>
      </w:pPr>
      <w:r>
        <w:rPr>
          <w:b/>
          <w:i/>
        </w:rPr>
      </w:r>
    </w:p>
    <w:p>
      <w:pPr>
        <w:pStyle w:val="Normal"/>
        <w:jc w:val="both"/>
        <w:rPr/>
      </w:pPr>
      <w:r>
        <w:rPr>
          <w:b/>
          <w:i/>
        </w:rPr>
        <w:t xml:space="preserve">Стоимость годных остатков транспортного средства NISSAN Juke, регистрационный знак </w:t>
      </w:r>
      <w:r>
        <w:rPr>
          <w:b/>
          <w:i/>
          <w:color w:val="000000"/>
        </w:rPr>
        <w:t>********</w:t>
      </w:r>
      <w:r>
        <w:rPr>
          <w:b/>
          <w:i/>
        </w:rPr>
        <w:t xml:space="preserve"> составляет - 246 000,00 РУБ (Двести сорок шесть тысяч рублей 00 копеек)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rPr>
          <w:b/>
          <w:b/>
          <w:bCs/>
        </w:rPr>
      </w:pPr>
      <w:r>
        <w:rPr>
          <w:b/>
          <w:bCs/>
        </w:rPr>
        <w:t xml:space="preserve">Эксперт-техник                                                                     </w:t>
      </w:r>
      <w:r>
        <w:rPr>
          <w:bCs/>
        </w:rPr>
        <w:t xml:space="preserve">_________________ </w:t>
      </w:r>
      <w:r>
        <w:rPr>
          <w:b/>
          <w:bCs/>
        </w:rPr>
        <w:t>Григорьев М.А.</w:t>
      </w:r>
    </w:p>
    <w:p>
      <w:pPr>
        <w:pStyle w:val="Normal"/>
        <w:rPr/>
      </w:pPr>
      <w:r>
        <w:rPr/>
      </w:r>
    </w:p>
    <w:p>
      <w:pPr>
        <w:pStyle w:val="Normal"/>
        <w:tabs>
          <w:tab w:val="clear" w:pos="708"/>
          <w:tab w:val="left" w:pos="8035" w:leader="none"/>
        </w:tabs>
        <w:spacing w:before="240" w:after="240"/>
        <w:jc w:val="right"/>
        <w:rPr/>
      </w:pPr>
      <w:r>
        <w:rPr>
          <w:bCs/>
        </w:rPr>
        <w:t>13 февраля 2023г.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ListParagraph"/>
        <w:jc w:val="center"/>
        <w:rPr>
          <w:rFonts w:cs="Arial CYR"/>
          <w:sz w:val="24"/>
          <w:szCs w:val="24"/>
          <w:u w:val="single"/>
          <w:lang w:val="ru-RU"/>
        </w:rPr>
      </w:pPr>
      <w:r>
        <w:rPr>
          <w:bCs/>
          <w:iCs/>
          <w:sz w:val="24"/>
          <w:szCs w:val="24"/>
          <w:u w:val="single"/>
          <w:lang w:val="ru-RU"/>
        </w:rPr>
        <w:t>ПЕРЕЧЕНЬ ПРИЛОЖЕНИЙ ЯВЛЯЮЩИХСЯ НЕОТЪЕМЛЕМОЙ ЧАСТЬЮ ЭКСПЕРТНОГО ЗАКЛЮЧЕНИЯ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 xml:space="preserve">1. Акт осмотра от </w:t>
      </w:r>
      <w:r>
        <w:rPr>
          <w:rFonts w:ascii="Times New Roman" w:hAnsi="Times New Roman"/>
          <w:color w:val="000000"/>
          <w:sz w:val="24"/>
          <w:szCs w:val="22"/>
        </w:rPr>
        <w:t>03 февраля 2023г.</w:t>
      </w:r>
      <w:r>
        <w:rPr>
          <w:rFonts w:ascii="Times New Roman" w:hAnsi="Times New Roman"/>
          <w:sz w:val="24"/>
          <w:szCs w:val="22"/>
        </w:rPr>
        <w:t xml:space="preserve"> (Приложение№1);</w:t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>2. Расчет стоимости восстановительного ремонта (Приложение№2);</w:t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 xml:space="preserve">3. Документ, подтверждающий факт происшествия от </w:t>
      </w:r>
      <w:r>
        <w:rPr>
          <w:rFonts w:ascii="Times New Roman" w:hAnsi="Times New Roman"/>
          <w:sz w:val="24"/>
          <w:szCs w:val="24"/>
        </w:rPr>
        <w:t xml:space="preserve">19 января 2023г. </w:t>
      </w:r>
      <w:r>
        <w:rPr>
          <w:rFonts w:ascii="Times New Roman" w:hAnsi="Times New Roman"/>
          <w:sz w:val="24"/>
          <w:szCs w:val="22"/>
        </w:rPr>
        <w:t>(Приложение№3);</w:t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>4. Копии СТС (Приложение№4);</w:t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 xml:space="preserve">5.Фотоматериал* зафиксированных повреждений в ходе осмотра ТС от </w:t>
      </w:r>
      <w:r>
        <w:rPr>
          <w:rFonts w:ascii="Times New Roman" w:hAnsi="Times New Roman"/>
          <w:color w:val="000000"/>
          <w:sz w:val="24"/>
          <w:szCs w:val="22"/>
        </w:rPr>
        <w:t xml:space="preserve">03 февраля 2023г. </w:t>
      </w:r>
      <w:r>
        <w:rPr>
          <w:rFonts w:ascii="Times New Roman" w:hAnsi="Times New Roman"/>
          <w:sz w:val="24"/>
          <w:szCs w:val="22"/>
        </w:rPr>
        <w:t xml:space="preserve"> (Приложение №5);</w:t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>6. Выборка аналогов ТС (Приложение №6);</w:t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>7. Документы специалистов (Приложение №7).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  <w:t>ПРИЛОЖЕНИЕ №1</w:t>
      </w:r>
    </w:p>
    <w:p>
      <w:pPr>
        <w:pStyle w:val="Normal"/>
        <w:jc w:val="center"/>
        <w:rPr>
          <w:bCs/>
          <w:sz w:val="20"/>
          <w:szCs w:val="20"/>
        </w:rPr>
      </w:pPr>
      <w:r>
        <w:rPr/>
        <w:drawing>
          <wp:inline distT="0" distB="0" distL="0" distR="0">
            <wp:extent cx="4495800" cy="1009650"/>
            <wp:effectExtent l="0" t="0" r="0" b="0"/>
            <wp:docPr id="23" name="Рисунок 157" descr="Itog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157" descr="Itog11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sz w:val="20"/>
          <w:szCs w:val="20"/>
        </w:rPr>
        <w:t xml:space="preserve"> </w:t>
      </w:r>
    </w:p>
    <w:p>
      <w:pPr>
        <w:pStyle w:val="Normal"/>
        <w:jc w:val="center"/>
        <w:rPr/>
      </w:pPr>
      <w:r>
        <w:rPr>
          <w:bCs/>
          <w:sz w:val="20"/>
          <w:szCs w:val="20"/>
        </w:rPr>
        <w:t>ОГРН 1127747107553</w:t>
      </w:r>
      <w:r>
        <w:rPr>
          <w:bCs/>
          <w:sz w:val="20"/>
          <w:szCs w:val="20"/>
        </w:rPr>
        <w:fldChar w:fldCharType="begin"/>
      </w:r>
      <w:r>
        <w:rPr>
          <w:sz w:val="20"/>
          <w:szCs w:val="20"/>
          <w:bCs/>
        </w:rPr>
        <w:instrText> MERGEFIELD ОГРН_оценщикаконтрактора </w:instrText>
      </w:r>
      <w:r>
        <w:rPr>
          <w:sz w:val="20"/>
          <w:szCs w:val="20"/>
          <w:bCs/>
        </w:rPr>
        <w:fldChar w:fldCharType="separate"/>
      </w:r>
      <w:r>
        <w:rPr>
          <w:sz w:val="20"/>
          <w:szCs w:val="20"/>
          <w:bCs/>
        </w:rPr>
      </w:r>
      <w:r>
        <w:rPr>
          <w:sz w:val="20"/>
          <w:szCs w:val="20"/>
          <w:bCs/>
        </w:rPr>
        <w:fldChar w:fldCharType="end"/>
      </w:r>
      <w:r>
        <w:rPr>
          <w:bCs/>
          <w:sz w:val="20"/>
          <w:szCs w:val="20"/>
        </w:rPr>
        <w:t xml:space="preserve">, ИНН/КПП 7709915321/770901001, </w:t>
        <w:br/>
        <w:t>Факт. адрес: РФ, 115280, г. Москва, ул. Ленинская Слобода, д. 19</w:t>
        <w:br/>
        <w:t xml:space="preserve">Тел. </w:t>
      </w:r>
      <w:r>
        <w:rPr>
          <w:bCs/>
          <w:sz w:val="20"/>
          <w:szCs w:val="20"/>
        </w:rPr>
        <w:fldChar w:fldCharType="begin"/>
      </w:r>
      <w:r>
        <w:rPr>
          <w:sz w:val="20"/>
          <w:szCs w:val="20"/>
          <w:bCs/>
        </w:rPr>
        <w:instrText> MERGEFIELD Телефон_с_кодом_и_факс_с_кодом </w:instrText>
      </w:r>
      <w:r>
        <w:rPr>
          <w:sz w:val="20"/>
          <w:szCs w:val="20"/>
          <w:bCs/>
        </w:rPr>
        <w:fldChar w:fldCharType="separate"/>
      </w:r>
      <w:r>
        <w:rPr>
          <w:sz w:val="20"/>
          <w:szCs w:val="20"/>
          <w:bCs/>
        </w:rPr>
        <w:t>(495) 795-16-</w:t>
      </w:r>
      <w:r>
        <w:rPr>
          <w:sz w:val="20"/>
          <w:szCs w:val="20"/>
          <w:bCs/>
        </w:rPr>
        <w:fldChar w:fldCharType="end"/>
      </w:r>
      <w:r>
        <w:rPr>
          <w:bCs/>
          <w:sz w:val="20"/>
          <w:szCs w:val="20"/>
        </w:rPr>
        <w:t xml:space="preserve">50, </w:t>
      </w:r>
      <w:r>
        <w:rPr>
          <w:bCs/>
          <w:sz w:val="20"/>
          <w:szCs w:val="20"/>
          <w:lang w:val="en-US"/>
        </w:rPr>
        <w:t>e</w:t>
      </w:r>
      <w:r>
        <w:rPr>
          <w:bCs/>
          <w:sz w:val="20"/>
          <w:szCs w:val="20"/>
        </w:rPr>
        <w:t>-</w:t>
      </w:r>
      <w:r>
        <w:rPr>
          <w:bCs/>
          <w:sz w:val="20"/>
          <w:szCs w:val="20"/>
          <w:lang w:val="en-US"/>
        </w:rPr>
        <w:t>mail</w:t>
      </w:r>
      <w:r>
        <w:rPr>
          <w:bCs/>
          <w:sz w:val="20"/>
          <w:szCs w:val="20"/>
        </w:rPr>
        <w:t xml:space="preserve">: </w:t>
      </w:r>
      <w:r>
        <w:rPr>
          <w:bCs/>
          <w:sz w:val="20"/>
          <w:szCs w:val="20"/>
          <w:lang w:val="en-US"/>
        </w:rPr>
        <w:t>euro</w:t>
      </w:r>
      <w:r>
        <w:rPr>
          <w:bCs/>
          <w:sz w:val="20"/>
          <w:szCs w:val="20"/>
        </w:rPr>
        <w:t>.</w:t>
      </w:r>
      <w:r>
        <w:rPr>
          <w:bCs/>
          <w:sz w:val="20"/>
          <w:szCs w:val="20"/>
          <w:lang w:val="en-US"/>
        </w:rPr>
        <w:t>otsenka</w:t>
      </w:r>
      <w:r>
        <w:rPr>
          <w:bCs/>
          <w:sz w:val="20"/>
          <w:szCs w:val="20"/>
        </w:rPr>
        <w:t>@</w:t>
      </w:r>
      <w:r>
        <w:rPr>
          <w:bCs/>
          <w:sz w:val="20"/>
          <w:szCs w:val="20"/>
          <w:lang w:val="en-US"/>
        </w:rPr>
        <w:t>gmail</w:t>
      </w:r>
      <w:r>
        <w:rPr>
          <w:bCs/>
          <w:sz w:val="20"/>
          <w:szCs w:val="20"/>
        </w:rPr>
        <w:t>.</w:t>
      </w:r>
      <w:r>
        <w:rPr>
          <w:bCs/>
          <w:sz w:val="20"/>
          <w:szCs w:val="20"/>
          <w:lang w:val="en-US"/>
        </w:rPr>
        <w:t>com</w:t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jc w:val="center"/>
        <w:rPr>
          <w:b/>
          <w:b/>
          <w:bCs/>
          <w:i/>
          <w:i/>
          <w:sz w:val="32"/>
          <w:szCs w:val="32"/>
        </w:rPr>
      </w:pPr>
      <w:r>
        <w:rPr>
          <w:b/>
          <w:bCs/>
          <w:i/>
          <w:sz w:val="32"/>
          <w:szCs w:val="32"/>
        </w:rPr>
        <w:t>АКТ № 5804-0223</w:t>
      </w:r>
    </w:p>
    <w:p>
      <w:pPr>
        <w:pStyle w:val="Normal"/>
        <w:jc w:val="center"/>
        <w:rPr>
          <w:b/>
          <w:b/>
          <w:bCs/>
          <w:i/>
          <w:i/>
          <w:sz w:val="32"/>
          <w:szCs w:val="32"/>
        </w:rPr>
      </w:pPr>
      <w:r>
        <w:rPr>
          <w:b/>
          <w:bCs/>
          <w:i/>
          <w:sz w:val="32"/>
          <w:szCs w:val="32"/>
        </w:rPr>
        <w:t>ОСМОТРА ТРАНСПОРТНОГО СРЕДСТВА (ТС)</w:t>
      </w:r>
    </w:p>
    <w:p>
      <w:pPr>
        <w:pStyle w:val="Normal"/>
        <w:jc w:val="right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jc w:val="both"/>
        <w:rPr>
          <w:b/>
          <w:b/>
          <w:sz w:val="20"/>
          <w:szCs w:val="20"/>
        </w:rPr>
      </w:pPr>
      <w:r>
        <w:rPr>
          <w:sz w:val="20"/>
          <w:szCs w:val="20"/>
        </w:rPr>
        <w:t xml:space="preserve">Дата осмотра: </w:t>
      </w:r>
      <w:r>
        <w:rPr>
          <w:b/>
          <w:sz w:val="20"/>
          <w:szCs w:val="20"/>
        </w:rPr>
        <w:t xml:space="preserve">03.02.2023                                                                                                           </w:t>
      </w:r>
      <w:r>
        <w:rPr>
          <w:sz w:val="20"/>
          <w:szCs w:val="20"/>
        </w:rPr>
        <w:t>Начало осмотра: 12 ч. 00 мин.</w:t>
      </w:r>
    </w:p>
    <w:p>
      <w:pPr>
        <w:pStyle w:val="Normal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Дата повреждения: </w:t>
      </w:r>
      <w:r>
        <w:rPr>
          <w:b/>
          <w:sz w:val="20"/>
          <w:szCs w:val="20"/>
        </w:rPr>
        <w:t>19.01.2023</w:t>
      </w:r>
      <w:r>
        <w:rPr>
          <w:sz w:val="20"/>
          <w:szCs w:val="20"/>
        </w:rPr>
        <w:tab/>
        <w:t xml:space="preserve">                                                                                             Окончание осмотра: 13 ч. 00 мин.</w:t>
      </w:r>
    </w:p>
    <w:p>
      <w:pPr>
        <w:pStyle w:val="Normal"/>
        <w:jc w:val="both"/>
        <w:rPr>
          <w:b/>
          <w:b/>
          <w:sz w:val="20"/>
          <w:szCs w:val="20"/>
        </w:rPr>
      </w:pPr>
      <w:r>
        <w:rPr>
          <w:b/>
          <w:sz w:val="20"/>
          <w:szCs w:val="20"/>
        </w:rPr>
      </w:r>
    </w:p>
    <w:p>
      <w:pPr>
        <w:pStyle w:val="Normal"/>
        <w:rPr>
          <w:color w:val="FF0000"/>
          <w:sz w:val="20"/>
          <w:szCs w:val="20"/>
        </w:rPr>
      </w:pPr>
      <w:r>
        <w:rPr>
          <w:sz w:val="20"/>
          <w:szCs w:val="20"/>
        </w:rPr>
        <w:t>Место осмотра: г. Москва, ул. Веневская, дом 32с1, сервис Лизард</w:t>
      </w:r>
    </w:p>
    <w:p>
      <w:pPr>
        <w:pStyle w:val="Normal"/>
        <w:jc w:val="both"/>
        <w:rPr/>
      </w:pPr>
      <w:r>
        <w:rPr>
          <w:sz w:val="20"/>
          <w:szCs w:val="20"/>
        </w:rPr>
        <w:t>Мною, экспертом-техником</w:t>
      </w:r>
      <w:r>
        <w:rPr/>
        <w:t xml:space="preserve"> </w:t>
      </w:r>
      <w:r>
        <w:rPr>
          <w:sz w:val="20"/>
          <w:szCs w:val="20"/>
        </w:rPr>
        <w:t xml:space="preserve">Григорьевым М.А. на основании договора № 5804-0223 от </w:t>
      </w:r>
      <w:r>
        <w:rPr>
          <w:color w:val="000000"/>
          <w:sz w:val="20"/>
          <w:szCs w:val="20"/>
        </w:rPr>
        <w:t>03.02.2023г.,</w:t>
      </w:r>
      <w:r>
        <w:rPr>
          <w:sz w:val="20"/>
          <w:szCs w:val="20"/>
        </w:rPr>
        <w:t xml:space="preserve"> произведен осмотр транспортного средства. Заказчиком, согласно предоставленным документам, является:</w:t>
      </w:r>
      <w:r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2"/>
          <w:szCs w:val="22"/>
        </w:rPr>
        <w:t>********</w:t>
      </w:r>
    </w:p>
    <w:p>
      <w:pPr>
        <w:pStyle w:val="Normal"/>
        <w:ind w:firstLine="360"/>
        <w:jc w:val="center"/>
        <w:rPr>
          <w:b/>
          <w:b/>
          <w:sz w:val="20"/>
          <w:szCs w:val="20"/>
        </w:rPr>
      </w:pPr>
      <w:r>
        <w:rPr>
          <w:b/>
          <w:sz w:val="20"/>
          <w:szCs w:val="20"/>
        </w:rPr>
      </w:r>
    </w:p>
    <w:p>
      <w:pPr>
        <w:pStyle w:val="Normal"/>
        <w:ind w:firstLine="360"/>
        <w:jc w:val="center"/>
        <w:rPr>
          <w:b/>
          <w:b/>
          <w:sz w:val="20"/>
          <w:szCs w:val="20"/>
        </w:rPr>
      </w:pPr>
      <w:r>
        <w:rPr>
          <w:b/>
          <w:sz w:val="20"/>
          <w:szCs w:val="20"/>
        </w:rPr>
        <w:t>Данные транспортного средства:</w:t>
      </w:r>
    </w:p>
    <w:tbl>
      <w:tblPr>
        <w:tblpPr w:bottomFromText="0" w:horzAnchor="margin" w:leftFromText="180" w:rightFromText="180" w:tblpX="-3" w:tblpY="41" w:topFromText="0" w:vertAnchor="text"/>
        <w:tblW w:w="10456" w:type="dxa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2088"/>
        <w:gridCol w:w="2130"/>
        <w:gridCol w:w="570"/>
        <w:gridCol w:w="2408"/>
        <w:gridCol w:w="3259"/>
      </w:tblGrid>
      <w:tr>
        <w:trPr/>
        <w:tc>
          <w:tcPr>
            <w:tcW w:w="2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Марка, модель</w:t>
            </w:r>
          </w:p>
        </w:tc>
        <w:tc>
          <w:tcPr>
            <w:tcW w:w="27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b/>
                <w:b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b/>
                <w:color w:val="000000" w:themeColor="text1"/>
                <w:sz w:val="20"/>
                <w:szCs w:val="20"/>
                <w:lang w:val="en-US"/>
              </w:rPr>
              <w:t>NISSAN JUKE 1.6</w:t>
            </w:r>
          </w:p>
        </w:tc>
        <w:tc>
          <w:tcPr>
            <w:tcW w:w="2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Регистрационный знак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4536" w:leader="none"/>
              </w:tabs>
              <w:snapToGrid w:val="false"/>
              <w:jc w:val="both"/>
              <w:rPr/>
            </w:pPr>
            <w:r>
              <w:rPr>
                <w:b/>
                <w:color w:val="000000"/>
                <w:sz w:val="20"/>
                <w:szCs w:val="20"/>
              </w:rPr>
              <w:t>********</w:t>
            </w:r>
          </w:p>
        </w:tc>
      </w:tr>
      <w:tr>
        <w:trPr/>
        <w:tc>
          <w:tcPr>
            <w:tcW w:w="2088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Категория ТС</w:t>
            </w:r>
          </w:p>
        </w:tc>
        <w:tc>
          <w:tcPr>
            <w:tcW w:w="2700" w:type="dxa"/>
            <w:gridSpan w:val="2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b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 w:val="20"/>
                <w:szCs w:val="20"/>
              </w:rPr>
              <w:t>В</w:t>
            </w:r>
          </w:p>
        </w:tc>
        <w:tc>
          <w:tcPr>
            <w:tcW w:w="2408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кузова/шасси (рамы)</w:t>
            </w:r>
          </w:p>
        </w:tc>
        <w:tc>
          <w:tcPr>
            <w:tcW w:w="32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4536" w:leader="none"/>
              </w:tabs>
              <w:snapToGrid w:val="false"/>
              <w:jc w:val="both"/>
              <w:rPr/>
            </w:pPr>
            <w:r>
              <w:rPr>
                <w:b/>
                <w:color w:val="000000"/>
                <w:sz w:val="20"/>
                <w:szCs w:val="20"/>
              </w:rPr>
              <w:t>********</w:t>
            </w:r>
          </w:p>
        </w:tc>
      </w:tr>
      <w:tr>
        <w:trPr/>
        <w:tc>
          <w:tcPr>
            <w:tcW w:w="2088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Год вып./дата экспл.</w:t>
            </w:r>
          </w:p>
        </w:tc>
        <w:tc>
          <w:tcPr>
            <w:tcW w:w="2700" w:type="dxa"/>
            <w:gridSpan w:val="2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b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2011</w:t>
            </w:r>
          </w:p>
        </w:tc>
        <w:tc>
          <w:tcPr>
            <w:tcW w:w="2408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Цвет / тип ЛКП</w:t>
            </w:r>
          </w:p>
        </w:tc>
        <w:tc>
          <w:tcPr>
            <w:tcW w:w="32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b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Белый</w:t>
            </w:r>
          </w:p>
        </w:tc>
      </w:tr>
      <w:tr>
        <w:trPr/>
        <w:tc>
          <w:tcPr>
            <w:tcW w:w="2088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VIN</w:t>
            </w:r>
            <w:r>
              <w:rPr>
                <w:sz w:val="20"/>
                <w:szCs w:val="20"/>
              </w:rPr>
              <w:t>код</w:t>
            </w:r>
          </w:p>
        </w:tc>
        <w:tc>
          <w:tcPr>
            <w:tcW w:w="2700" w:type="dxa"/>
            <w:gridSpan w:val="2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4536" w:leader="none"/>
              </w:tabs>
              <w:snapToGrid w:val="false"/>
              <w:jc w:val="both"/>
              <w:rPr/>
            </w:pPr>
            <w:r>
              <w:rPr>
                <w:b/>
                <w:color w:val="000000"/>
                <w:sz w:val="20"/>
                <w:szCs w:val="20"/>
                <w:lang w:val="en-US"/>
              </w:rPr>
              <w:t>********</w:t>
            </w:r>
          </w:p>
        </w:tc>
        <w:tc>
          <w:tcPr>
            <w:tcW w:w="2408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Св-во о регистрации</w:t>
            </w:r>
          </w:p>
        </w:tc>
        <w:tc>
          <w:tcPr>
            <w:tcW w:w="32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4536" w:leader="none"/>
              </w:tabs>
              <w:snapToGrid w:val="false"/>
              <w:jc w:val="both"/>
              <w:rPr/>
            </w:pPr>
            <w:r>
              <w:rPr>
                <w:b/>
                <w:color w:val="000000"/>
                <w:sz w:val="20"/>
                <w:szCs w:val="20"/>
              </w:rPr>
              <w:t>********</w:t>
            </w:r>
          </w:p>
        </w:tc>
      </w:tr>
      <w:tr>
        <w:trPr/>
        <w:tc>
          <w:tcPr>
            <w:tcW w:w="2088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Модель/№ двигателя</w:t>
            </w:r>
          </w:p>
        </w:tc>
        <w:tc>
          <w:tcPr>
            <w:tcW w:w="2700" w:type="dxa"/>
            <w:gridSpan w:val="2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>
                <w:b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2408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Паспорт ТС</w:t>
            </w:r>
          </w:p>
        </w:tc>
        <w:tc>
          <w:tcPr>
            <w:tcW w:w="32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rPr>
                <w:b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</w:tr>
      <w:tr>
        <w:trPr/>
        <w:tc>
          <w:tcPr>
            <w:tcW w:w="2088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Рабочий объем</w:t>
            </w:r>
          </w:p>
        </w:tc>
        <w:tc>
          <w:tcPr>
            <w:tcW w:w="270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b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2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Собственник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4536" w:leader="none"/>
              </w:tabs>
              <w:snapToGrid w:val="false"/>
              <w:jc w:val="both"/>
              <w:rPr/>
            </w:pPr>
            <w:r>
              <w:rPr>
                <w:b/>
                <w:color w:val="000000"/>
                <w:sz w:val="20"/>
                <w:szCs w:val="20"/>
              </w:rPr>
              <w:t>********</w:t>
            </w:r>
          </w:p>
        </w:tc>
      </w:tr>
      <w:tr>
        <w:trPr/>
        <w:tc>
          <w:tcPr>
            <w:tcW w:w="2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Мощность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b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</w:r>
          </w:p>
        </w:tc>
        <w:tc>
          <w:tcPr>
            <w:tcW w:w="62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Пробег: </w:t>
            </w:r>
            <w:r>
              <w:rPr>
                <w:b/>
                <w:sz w:val="20"/>
                <w:szCs w:val="20"/>
              </w:rPr>
              <w:t>129092 км.</w:t>
            </w:r>
            <w:r>
              <w:rPr>
                <w:sz w:val="20"/>
                <w:szCs w:val="20"/>
              </w:rPr>
              <w:t>(показания одометра на момент осмотра)</w:t>
            </w:r>
          </w:p>
        </w:tc>
      </w:tr>
    </w:tbl>
    <w:p>
      <w:pPr>
        <w:pStyle w:val="Normal"/>
        <w:jc w:val="both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Normal"/>
        <w:ind w:firstLine="360"/>
        <w:jc w:val="center"/>
        <w:rPr>
          <w:sz w:val="20"/>
          <w:szCs w:val="20"/>
        </w:rPr>
      </w:pPr>
      <w:r>
        <w:rPr>
          <w:b/>
          <w:sz w:val="20"/>
          <w:szCs w:val="20"/>
        </w:rPr>
        <w:t>Комплектация транспортного средства:</w:t>
      </w:r>
    </w:p>
    <w:tbl>
      <w:tblPr>
        <w:tblW w:w="10494" w:type="dxa"/>
        <w:jc w:val="left"/>
        <w:tblInd w:w="0" w:type="dxa"/>
        <w:tblBorders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426"/>
        <w:gridCol w:w="947"/>
        <w:gridCol w:w="469"/>
        <w:gridCol w:w="1766"/>
        <w:gridCol w:w="506"/>
        <w:gridCol w:w="3068"/>
        <w:gridCol w:w="476"/>
        <w:gridCol w:w="2834"/>
      </w:tblGrid>
      <w:tr>
        <w:trPr>
          <w:trHeight w:val="285" w:hRule="atLeast"/>
        </w:trPr>
        <w:tc>
          <w:tcPr>
            <w:tcW w:w="3608" w:type="dxa"/>
            <w:gridSpan w:val="4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 </w:t>
            </w:r>
            <w:r>
              <w:rPr>
                <w:sz w:val="16"/>
                <w:szCs w:val="16"/>
              </w:rPr>
              <w:t>Название:_____________________________</w:t>
            </w:r>
          </w:p>
        </w:tc>
        <w:tc>
          <w:tcPr>
            <w:tcW w:w="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30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Обивка салона ткань/велюр</w:t>
            </w:r>
          </w:p>
        </w:tc>
        <w:tc>
          <w:tcPr>
            <w:tcW w:w="4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283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Кондиционер</w:t>
            </w:r>
          </w:p>
        </w:tc>
      </w:tr>
      <w:tr>
        <w:trPr>
          <w:trHeight w:val="270" w:hRule="atLeast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+</w:t>
            </w:r>
          </w:p>
        </w:tc>
        <w:tc>
          <w:tcPr>
            <w:tcW w:w="94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Вариатор</w:t>
            </w:r>
          </w:p>
        </w:tc>
        <w:tc>
          <w:tcPr>
            <w:tcW w:w="46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17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Роботизирован</w:t>
            </w:r>
          </w:p>
        </w:tc>
        <w:tc>
          <w:tcPr>
            <w:tcW w:w="50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+</w:t>
            </w:r>
          </w:p>
        </w:tc>
        <w:tc>
          <w:tcPr>
            <w:tcW w:w="30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Обивка салона кожа</w:t>
            </w:r>
          </w:p>
        </w:tc>
        <w:tc>
          <w:tcPr>
            <w:tcW w:w="47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+</w:t>
            </w:r>
          </w:p>
        </w:tc>
        <w:tc>
          <w:tcPr>
            <w:tcW w:w="283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Климат-контроль</w:t>
            </w:r>
          </w:p>
        </w:tc>
      </w:tr>
      <w:tr>
        <w:trPr>
          <w:trHeight w:val="270" w:hRule="atLeast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+</w:t>
            </w:r>
          </w:p>
        </w:tc>
        <w:tc>
          <w:tcPr>
            <w:tcW w:w="94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ABS</w:t>
            </w:r>
          </w:p>
        </w:tc>
        <w:tc>
          <w:tcPr>
            <w:tcW w:w="469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+</w:t>
            </w:r>
          </w:p>
        </w:tc>
        <w:tc>
          <w:tcPr>
            <w:tcW w:w="17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ESP</w:t>
            </w:r>
          </w:p>
        </w:tc>
        <w:tc>
          <w:tcPr>
            <w:tcW w:w="50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+</w:t>
            </w:r>
          </w:p>
        </w:tc>
        <w:tc>
          <w:tcPr>
            <w:tcW w:w="30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Эл привод стекол </w:t>
            </w:r>
          </w:p>
        </w:tc>
        <w:tc>
          <w:tcPr>
            <w:tcW w:w="47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+</w:t>
            </w:r>
          </w:p>
        </w:tc>
        <w:tc>
          <w:tcPr>
            <w:tcW w:w="283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Трансмиссия  4WD</w:t>
            </w:r>
          </w:p>
        </w:tc>
      </w:tr>
      <w:tr>
        <w:trPr>
          <w:trHeight w:val="270" w:hRule="atLeast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+</w:t>
            </w:r>
          </w:p>
        </w:tc>
        <w:tc>
          <w:tcPr>
            <w:tcW w:w="94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ПТФ</w:t>
            </w:r>
          </w:p>
        </w:tc>
        <w:tc>
          <w:tcPr>
            <w:tcW w:w="469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+</w:t>
            </w:r>
          </w:p>
        </w:tc>
        <w:tc>
          <w:tcPr>
            <w:tcW w:w="17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ГУР/ЭУР</w:t>
            </w:r>
          </w:p>
        </w:tc>
        <w:tc>
          <w:tcPr>
            <w:tcW w:w="50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30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Ксенон фары </w:t>
            </w:r>
          </w:p>
        </w:tc>
        <w:tc>
          <w:tcPr>
            <w:tcW w:w="47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+</w:t>
            </w:r>
          </w:p>
        </w:tc>
        <w:tc>
          <w:tcPr>
            <w:tcW w:w="283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Колесные диски литые</w:t>
            </w:r>
          </w:p>
        </w:tc>
      </w:tr>
      <w:tr>
        <w:trPr>
          <w:trHeight w:val="270" w:hRule="atLeast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94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МКПП</w:t>
            </w:r>
          </w:p>
        </w:tc>
        <w:tc>
          <w:tcPr>
            <w:tcW w:w="46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17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АКПП</w:t>
            </w:r>
          </w:p>
        </w:tc>
        <w:tc>
          <w:tcPr>
            <w:tcW w:w="50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+</w:t>
            </w:r>
          </w:p>
        </w:tc>
        <w:tc>
          <w:tcPr>
            <w:tcW w:w="30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Датчики парковки передние/задние</w:t>
            </w:r>
          </w:p>
        </w:tc>
        <w:tc>
          <w:tcPr>
            <w:tcW w:w="47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283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Защитные колпаки колес</w:t>
            </w:r>
          </w:p>
        </w:tc>
      </w:tr>
      <w:tr>
        <w:trPr>
          <w:trHeight w:val="240" w:hRule="atLeast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+</w:t>
            </w:r>
          </w:p>
        </w:tc>
        <w:tc>
          <w:tcPr>
            <w:tcW w:w="3182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Airbag водителя</w:t>
            </w:r>
          </w:p>
        </w:tc>
        <w:tc>
          <w:tcPr>
            <w:tcW w:w="50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+</w:t>
            </w:r>
          </w:p>
        </w:tc>
        <w:tc>
          <w:tcPr>
            <w:tcW w:w="30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Зеркала з/в с электроприводом</w:t>
            </w:r>
          </w:p>
        </w:tc>
        <w:tc>
          <w:tcPr>
            <w:tcW w:w="47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+</w:t>
            </w:r>
          </w:p>
        </w:tc>
        <w:tc>
          <w:tcPr>
            <w:tcW w:w="283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Накладки порогов и арок</w:t>
            </w:r>
          </w:p>
        </w:tc>
      </w:tr>
      <w:tr>
        <w:trPr>
          <w:trHeight w:val="240" w:hRule="atLeast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+</w:t>
            </w:r>
          </w:p>
        </w:tc>
        <w:tc>
          <w:tcPr>
            <w:tcW w:w="3182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Airbag пассажира</w:t>
            </w:r>
          </w:p>
        </w:tc>
        <w:tc>
          <w:tcPr>
            <w:tcW w:w="50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+</w:t>
            </w:r>
          </w:p>
        </w:tc>
        <w:tc>
          <w:tcPr>
            <w:tcW w:w="30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Зеркала з/в с подогревом</w:t>
            </w:r>
          </w:p>
        </w:tc>
        <w:tc>
          <w:tcPr>
            <w:tcW w:w="47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+</w:t>
            </w:r>
          </w:p>
        </w:tc>
        <w:tc>
          <w:tcPr>
            <w:tcW w:w="283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Стеклоомыватели фар</w:t>
            </w:r>
          </w:p>
        </w:tc>
      </w:tr>
      <w:tr>
        <w:trPr>
          <w:trHeight w:val="240" w:hRule="atLeast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+</w:t>
            </w:r>
          </w:p>
        </w:tc>
        <w:tc>
          <w:tcPr>
            <w:tcW w:w="3182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Airbag Боковая/шторка</w:t>
            </w:r>
          </w:p>
        </w:tc>
        <w:tc>
          <w:tcPr>
            <w:tcW w:w="50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30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Газовое оборудование</w:t>
            </w:r>
          </w:p>
        </w:tc>
        <w:tc>
          <w:tcPr>
            <w:tcW w:w="47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283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Обогрев переднего стекла</w:t>
            </w:r>
          </w:p>
        </w:tc>
      </w:tr>
      <w:tr>
        <w:trPr>
          <w:trHeight w:val="240" w:hRule="atLeast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3182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Люк крыши  </w:t>
            </w:r>
          </w:p>
        </w:tc>
        <w:tc>
          <w:tcPr>
            <w:tcW w:w="50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color w:val="FF0000"/>
                <w:sz w:val="16"/>
                <w:szCs w:val="16"/>
              </w:rPr>
            </w:pPr>
            <w:r>
              <w:rPr>
                <w:b/>
                <w:color w:val="FF0000"/>
                <w:sz w:val="16"/>
                <w:szCs w:val="16"/>
              </w:rPr>
              <w:t>+</w:t>
            </w:r>
          </w:p>
        </w:tc>
        <w:tc>
          <w:tcPr>
            <w:tcW w:w="30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Спойлер задний </w:t>
            </w:r>
          </w:p>
        </w:tc>
        <w:tc>
          <w:tcPr>
            <w:tcW w:w="4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color w:val="FF0000"/>
                <w:sz w:val="16"/>
                <w:szCs w:val="16"/>
              </w:rPr>
            </w:pPr>
            <w:r>
              <w:rPr>
                <w:b/>
                <w:color w:val="FF0000"/>
                <w:sz w:val="16"/>
                <w:szCs w:val="16"/>
              </w:rPr>
              <w:t>+</w:t>
            </w:r>
          </w:p>
        </w:tc>
        <w:tc>
          <w:tcPr>
            <w:tcW w:w="283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Стеклоочиститель задний </w:t>
            </w:r>
          </w:p>
        </w:tc>
      </w:tr>
    </w:tbl>
    <w:p>
      <w:pPr>
        <w:pStyle w:val="Normal"/>
        <w:jc w:val="both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Normal"/>
        <w:jc w:val="center"/>
        <w:rPr>
          <w:b/>
          <w:b/>
          <w:sz w:val="20"/>
          <w:szCs w:val="20"/>
        </w:rPr>
      </w:pPr>
      <w:r>
        <w:rPr>
          <w:b/>
          <w:sz w:val="20"/>
          <w:szCs w:val="20"/>
        </w:rPr>
        <w:t>ОСМОТРОМ УСТАНОВЛЕНО:</w:t>
      </w:r>
    </w:p>
    <w:p>
      <w:pPr>
        <w:pStyle w:val="Normal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Марка, модель, модификация объекта осмотра, основные конструктивные и функциональные параметры ТС и его агрегатов, узлов и механизмов, соответствуют записям в регистрационных документах. </w:t>
      </w:r>
    </w:p>
    <w:tbl>
      <w:tblPr>
        <w:tblW w:w="10827" w:type="dxa"/>
        <w:jc w:val="left"/>
        <w:tblInd w:w="-142" w:type="dxa"/>
        <w:tblBorders/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124"/>
        <w:gridCol w:w="522"/>
        <w:gridCol w:w="6034"/>
        <w:gridCol w:w="960"/>
        <w:gridCol w:w="960"/>
        <w:gridCol w:w="312"/>
        <w:gridCol w:w="781"/>
        <w:gridCol w:w="80"/>
        <w:gridCol w:w="487"/>
        <w:gridCol w:w="472"/>
        <w:gridCol w:w="1"/>
        <w:gridCol w:w="93"/>
      </w:tblGrid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10702" w:type="dxa"/>
            <w:gridSpan w:val="11"/>
            <w:tcBorders/>
            <w:shd w:fill="auto" w:val="clear"/>
            <w:vAlign w:val="bottom"/>
          </w:tcPr>
          <w:p>
            <w:pPr>
              <w:pStyle w:val="Normal"/>
              <w:jc w:val="center"/>
              <w:rPr>
                <w:b/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Повреждения, относящиеся к рассматриваемому событию:</w:t>
            </w:r>
          </w:p>
        </w:tc>
      </w:tr>
      <w:tr>
        <w:trPr>
          <w:trHeight w:val="43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</w:p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п/п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Деталь, характер, вид и объем ее повреждения.</w:t>
            </w:r>
          </w:p>
        </w:tc>
        <w:tc>
          <w:tcPr>
            <w:tcW w:w="78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Рем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Зам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Окр</w:t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Бампер передний - НЛКП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Расширитель арки передний, левый - РМ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Крыло переднее левое – ГВМ </w:t>
            </w:r>
            <w:r>
              <w:rPr>
                <w:sz w:val="20"/>
                <w:szCs w:val="20"/>
                <w:lang w:val="en-US"/>
              </w:rPr>
              <w:t>S</w:t>
            </w:r>
            <w:r>
              <w:rPr>
                <w:sz w:val="20"/>
                <w:szCs w:val="20"/>
              </w:rPr>
              <w:t>&gt;50% с ООС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Щиток грязезащитный передний, левый - царапан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Повторитель указателя поворота, левый - РМ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Кронштейн н переднего левого крыла, передний – деформирован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Диск колеса (</w:t>
            </w:r>
            <w:r>
              <w:rPr>
                <w:sz w:val="20"/>
                <w:szCs w:val="20"/>
                <w:lang w:val="en-US"/>
              </w:rPr>
              <w:t>R</w:t>
            </w:r>
            <w:r>
              <w:rPr>
                <w:sz w:val="20"/>
                <w:szCs w:val="20"/>
              </w:rPr>
              <w:t>17) передний, левый – срез метала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Подкрылок передний левый -РМ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Дверь передняя, левая - ГВМ</w:t>
            </w:r>
            <w:r>
              <w:rPr/>
              <w:t xml:space="preserve"> </w:t>
            </w:r>
            <w:r>
              <w:rPr>
                <w:sz w:val="20"/>
                <w:szCs w:val="20"/>
              </w:rPr>
              <w:t>S&gt;50% с ООС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Ручка (в сборе) двери передней левой, наружная - РМ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</w:tr>
      <w:tr>
        <w:trPr>
          <w:trHeight w:val="70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Дверь задняя, левая – ГВМ S&gt;50% с ООС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</w:tr>
      <w:tr>
        <w:trPr>
          <w:trHeight w:val="70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Расширитель арки задний, левый – задиры материала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Крыло заднее, левое – ГВМ </w:t>
            </w:r>
            <w:r>
              <w:rPr>
                <w:sz w:val="20"/>
                <w:szCs w:val="20"/>
                <w:lang w:val="en-US"/>
              </w:rPr>
              <w:t>S</w:t>
            </w:r>
            <w:r>
              <w:rPr>
                <w:sz w:val="20"/>
                <w:szCs w:val="20"/>
              </w:rPr>
              <w:t xml:space="preserve"> 15-20% с ООС и ИРЖ в ТДМ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Диск колеса (R17) задний, левый – срез метала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Шина заднего левого колеса </w:t>
            </w:r>
            <w:r>
              <w:rPr>
                <w:sz w:val="20"/>
                <w:szCs w:val="20"/>
                <w:lang w:val="en-US"/>
              </w:rPr>
              <w:t>YKOHAMA</w:t>
            </w:r>
            <w:r>
              <w:rPr>
                <w:sz w:val="20"/>
                <w:szCs w:val="20"/>
              </w:rPr>
              <w:t xml:space="preserve"> 215/55</w:t>
            </w:r>
            <w:r>
              <w:rPr>
                <w:sz w:val="20"/>
                <w:szCs w:val="20"/>
                <w:lang w:val="en-US"/>
              </w:rPr>
              <w:t>R</w:t>
            </w:r>
            <w:r>
              <w:rPr>
                <w:sz w:val="20"/>
                <w:szCs w:val="20"/>
              </w:rPr>
              <w:t>17 – срез материала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Щиток грязезащитный задний, левый - царапан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Капот – НЛКП от смещения ДХО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Накладка левого порога – царапана с РМ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Арка наружная заднего левого крыла – ГВМ </w:t>
            </w:r>
            <w:r>
              <w:rPr>
                <w:sz w:val="20"/>
                <w:szCs w:val="20"/>
                <w:lang w:val="en-US"/>
              </w:rPr>
              <w:t>S</w:t>
            </w:r>
            <w:r>
              <w:rPr>
                <w:sz w:val="20"/>
                <w:szCs w:val="20"/>
              </w:rPr>
              <w:t xml:space="preserve"> 20-30% с ООС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Стойка амортизатора передней левой подвески - деформирована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Стойка стабилизатора передней левой подвески - деформирована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Кулак передней левой подвески - деформирован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Приводной вал передний левый - деформирован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Сайлентблоки нижнего рычага передней левой подвески - РМ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Усилитель панели крыши, левый – ВМ </w:t>
            </w:r>
            <w:r>
              <w:rPr>
                <w:sz w:val="20"/>
                <w:szCs w:val="20"/>
                <w:lang w:val="en-US"/>
              </w:rPr>
              <w:t>S</w:t>
            </w:r>
            <w:r>
              <w:rPr>
                <w:sz w:val="20"/>
                <w:szCs w:val="20"/>
              </w:rPr>
              <w:t xml:space="preserve"> 5-10% с ИРЖ в ТДМ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3.5н/ч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ДХО передний левый - РМ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Обивка передней левой двери – РМ с деформацией материала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Уплотнительная резинка передней левой двери - РМ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Стойка кузова центральная, левая – ГВМ </w:t>
            </w:r>
            <w:r>
              <w:rPr>
                <w:sz w:val="20"/>
                <w:szCs w:val="20"/>
                <w:lang w:val="en-US"/>
              </w:rPr>
              <w:t>S</w:t>
            </w:r>
            <w:r>
              <w:rPr>
                <w:sz w:val="20"/>
                <w:szCs w:val="20"/>
              </w:rPr>
              <w:t xml:space="preserve"> &gt; 50% с ООС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Стойка кузова передняя, левая – ГВМ </w:t>
            </w:r>
            <w:r>
              <w:rPr>
                <w:sz w:val="20"/>
                <w:szCs w:val="20"/>
                <w:lang w:val="en-US"/>
              </w:rPr>
              <w:t>S</w:t>
            </w:r>
            <w:r>
              <w:rPr>
                <w:sz w:val="20"/>
                <w:szCs w:val="20"/>
              </w:rPr>
              <w:t xml:space="preserve"> 15-20% </w:t>
            </w:r>
            <w:r>
              <w:rPr>
                <w:sz w:val="20"/>
                <w:szCs w:val="20"/>
                <w:lang w:val="en-US"/>
              </w:rPr>
              <w:t>c</w:t>
            </w:r>
            <w:r>
              <w:rPr>
                <w:sz w:val="20"/>
                <w:szCs w:val="20"/>
              </w:rPr>
              <w:t xml:space="preserve"> ООС в ТДМ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Усилитель центральной левой стойки кузова- ВМ </w:t>
            </w:r>
            <w:r>
              <w:rPr>
                <w:sz w:val="20"/>
                <w:szCs w:val="20"/>
                <w:lang w:val="en-US"/>
              </w:rPr>
              <w:t>S</w:t>
            </w:r>
            <w:r>
              <w:rPr>
                <w:sz w:val="20"/>
                <w:szCs w:val="20"/>
              </w:rPr>
              <w:t xml:space="preserve"> 20-30 % </w:t>
            </w:r>
            <w:r>
              <w:rPr>
                <w:sz w:val="20"/>
                <w:szCs w:val="20"/>
                <w:lang w:val="en-US"/>
              </w:rPr>
              <w:t>c</w:t>
            </w:r>
            <w:r>
              <w:rPr>
                <w:sz w:val="20"/>
                <w:szCs w:val="20"/>
              </w:rPr>
              <w:t xml:space="preserve"> ООС и РМ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Порог левый – ВМ </w:t>
            </w:r>
            <w:r>
              <w:rPr>
                <w:sz w:val="20"/>
                <w:szCs w:val="20"/>
                <w:lang w:val="en-US"/>
              </w:rPr>
              <w:t>S</w:t>
            </w:r>
            <w:r>
              <w:rPr>
                <w:sz w:val="20"/>
                <w:szCs w:val="20"/>
              </w:rPr>
              <w:t xml:space="preserve"> 25-35% в ТДМ с ИРЖ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Усилитель переднего левого крыла – ВМ </w:t>
            </w:r>
            <w:r>
              <w:rPr>
                <w:sz w:val="20"/>
                <w:szCs w:val="20"/>
                <w:lang w:val="en-US"/>
              </w:rPr>
              <w:t>S</w:t>
            </w:r>
            <w:r>
              <w:rPr>
                <w:sz w:val="20"/>
                <w:szCs w:val="20"/>
              </w:rPr>
              <w:t xml:space="preserve"> 3-5% </w:t>
            </w:r>
            <w:r>
              <w:rPr>
                <w:sz w:val="20"/>
                <w:szCs w:val="20"/>
                <w:lang w:val="en-US"/>
              </w:rPr>
              <w:t>c</w:t>
            </w:r>
            <w:r>
              <w:rPr>
                <w:sz w:val="20"/>
                <w:szCs w:val="20"/>
              </w:rPr>
              <w:t xml:space="preserve"> ИРЖ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2.5н/ч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Обивка нижнего проема передней двери - РМ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Обивка нижнего проема задней левой двери - РМ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Обивка нижняя центральной левой стойки кузова – излом материала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Динамик передней левой двери - РМ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Механизм опускания стекла передней левой двери - деформирован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Обивка задней левой двери – излом материала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Подушка безопасности потолка, левая - сработала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Подушка безопасности сидения водителя - сработала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Обивка потолка – излом материала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Обивка спинки водительского сиденья - РМ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Наполнитель спинки водительского сиденья - РМ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Замена датчиков </w:t>
            </w:r>
            <w:r>
              <w:rPr>
                <w:sz w:val="20"/>
                <w:szCs w:val="20"/>
                <w:lang w:val="en-US"/>
              </w:rPr>
              <w:t>AIRBAG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Установка на стапель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70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</w:t>
            </w:r>
          </w:p>
        </w:tc>
        <w:tc>
          <w:tcPr>
            <w:tcW w:w="8266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Устранить перекос проемов передней левой и задней двери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2.0н/ч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0702" w:type="dxa"/>
            <w:gridSpan w:val="11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Принятые сокращения: ДРЖ - с деформацией ребер жесткости; ОС - острые складки; СМ - с образованием складок материала; РМ - с образованием разрыва материала; ТДМ - в труднодоступном месте; РЕМ - ремонт; ЗАМ - замена; ЗАМ Ч - частичная замена; УП - устранение перекоса; ОКР - окраска; ДИАГН - диагностика; ЛЕВ - левая; ПР - правая; ЗАД - задняя; ПЕР - передняя; ТС - транспортное средство. </w:t>
            </w:r>
          </w:p>
        </w:tc>
      </w:tr>
      <w:tr>
        <w:trPr>
          <w:trHeight w:val="348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0702" w:type="dxa"/>
            <w:gridSpan w:val="11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</w:r>
          </w:p>
        </w:tc>
      </w:tr>
      <w:tr>
        <w:trPr>
          <w:trHeight w:val="348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0702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b/>
                <w:i/>
                <w:color w:val="000000"/>
                <w:sz w:val="18"/>
                <w:szCs w:val="18"/>
                <w:u w:val="single"/>
              </w:rPr>
              <w:t>Дефекты эксплуатации:</w:t>
            </w:r>
          </w:p>
        </w:tc>
      </w:tr>
      <w:tr>
        <w:trPr>
          <w:trHeight w:val="348" w:hRule="atLeast"/>
        </w:trPr>
        <w:tc>
          <w:tcPr>
            <w:tcW w:w="12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0702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>
          <w:trHeight w:val="300" w:hRule="atLeast"/>
        </w:trPr>
        <w:tc>
          <w:tcPr>
            <w:tcW w:w="6680" w:type="dxa"/>
            <w:gridSpan w:val="3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Возможны  скрытые повреждения в зоне аварийных повреждений: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spacing w:before="0" w:after="4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17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spacing w:before="0" w:after="4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+</w:t>
            </w:r>
          </w:p>
        </w:tc>
        <w:tc>
          <w:tcPr>
            <w:tcW w:w="960" w:type="dxa"/>
            <w:gridSpan w:val="3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93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660" w:hRule="atLeast"/>
        </w:trPr>
        <w:tc>
          <w:tcPr>
            <w:tcW w:w="10732" w:type="dxa"/>
            <w:gridSpan w:val="10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 учетом выявленных повреждений ТС, обстоятельств ДТП, исследовав характер и механизм образования повреждений, их расположение, предварительно, можно предположить, что:</w:t>
            </w:r>
          </w:p>
        </w:tc>
        <w:tc>
          <w:tcPr>
            <w:tcW w:w="94" w:type="dxa"/>
            <w:gridSpan w:val="2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7640" w:type="dxa"/>
            <w:gridSpan w:val="4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Вышеуказанные повреждения могут являться следствием данного ДТП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spacing w:before="0" w:after="4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+</w:t>
            </w:r>
          </w:p>
        </w:tc>
        <w:tc>
          <w:tcPr>
            <w:tcW w:w="1173" w:type="dxa"/>
            <w:gridSpan w:val="3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487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473" w:type="dxa"/>
            <w:gridSpan w:val="2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3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7640" w:type="dxa"/>
            <w:gridSpan w:val="4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Вышеуказанные повреждения не могут являться следствием данного ДТП</w:t>
            </w:r>
          </w:p>
        </w:tc>
        <w:tc>
          <w:tcPr>
            <w:tcW w:w="9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spacing w:before="0" w:after="4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173" w:type="dxa"/>
            <w:gridSpan w:val="3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487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473" w:type="dxa"/>
            <w:gridSpan w:val="2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3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</w:tbl>
    <w:p>
      <w:pPr>
        <w:pStyle w:val="Normal"/>
        <w:rPr>
          <w:i/>
          <w:i/>
        </w:rPr>
      </w:pPr>
      <w:r>
        <w:rPr>
          <w:i/>
        </w:rPr>
      </w:r>
    </w:p>
    <w:p>
      <w:pPr>
        <w:pStyle w:val="Normal"/>
        <w:rPr>
          <w:b/>
          <w:b/>
          <w:bCs/>
          <w:iCs/>
          <w:sz w:val="20"/>
          <w:szCs w:val="20"/>
        </w:rPr>
      </w:pPr>
      <w:r>
        <w:rPr>
          <w:b/>
          <w:bCs/>
          <w:iCs/>
          <w:sz w:val="20"/>
          <w:szCs w:val="20"/>
        </w:rPr>
        <w:t>Акт составлен по наружному осмотру в нашем присутствии. С перечнем поврежденных деталей, характером, объемами и видами повреждений ТС ознакомлены и согласны.</w:t>
      </w:r>
    </w:p>
    <w:p>
      <w:pPr>
        <w:pStyle w:val="Normal"/>
        <w:rPr>
          <w:b/>
          <w:b/>
          <w:bCs/>
          <w:iCs/>
          <w:sz w:val="20"/>
          <w:szCs w:val="20"/>
        </w:rPr>
      </w:pPr>
      <w:r>
        <w:rPr>
          <w:b/>
          <w:bCs/>
          <w:iCs/>
          <w:sz w:val="20"/>
          <w:szCs w:val="20"/>
        </w:rPr>
      </w:r>
    </w:p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  <w:t>При осмотре присутствовали</w:t>
      </w:r>
    </w:p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  <w:t>Эксперт-техник ___________________________/Григорьев М.А./</w:t>
      </w:r>
    </w:p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  <w:t>Заказчик    __________________________________________________________________________/</w:t>
      </w:r>
      <w:r>
        <w:rPr>
          <w:color w:val="000000"/>
          <w:sz w:val="20"/>
          <w:szCs w:val="20"/>
        </w:rPr>
        <w:t xml:space="preserve"> __________________/</w:t>
      </w:r>
    </w:p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  <w:t>Владелец автомобиля (доверенное лицо) ________________________________________________/</w:t>
      </w:r>
      <w:r>
        <w:rPr>
          <w:color w:val="000000"/>
          <w:sz w:val="20"/>
          <w:szCs w:val="20"/>
        </w:rPr>
        <w:t xml:space="preserve"> __________________/</w:t>
      </w:r>
    </w:p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  <w:t>Другие заинтересованные лица ________________________________________________________/__________________/</w:t>
      </w:r>
    </w:p>
    <w:p>
      <w:pPr>
        <w:pStyle w:val="Normal"/>
        <w:jc w:val="center"/>
        <w:rPr>
          <w:b/>
          <w:b/>
        </w:rPr>
      </w:pPr>
      <w:r>
        <w:rPr>
          <w:b/>
        </w:rPr>
        <w:t>ПРИЛОЖЕНИЕ №2</w:t>
      </w:r>
    </w:p>
    <w:p>
      <w:pPr>
        <w:pStyle w:val="Normal"/>
        <w:jc w:val="center"/>
        <w:rPr>
          <w:rFonts w:eastAsia="Arial Unicode MS"/>
        </w:rPr>
      </w:pPr>
      <w:r>
        <w:rPr>
          <w:rFonts w:eastAsia="Arial Unicode MS"/>
        </w:rPr>
        <w:t>Калькуляция по определению стоимости восстановительного ремонта</w:t>
      </w:r>
    </w:p>
    <w:p>
      <w:pPr>
        <w:pStyle w:val="Normal"/>
        <w:jc w:val="center"/>
        <w:rPr/>
      </w:pPr>
      <w:r>
        <w:rPr>
          <w:rFonts w:eastAsia="Arial Unicode MS"/>
        </w:rPr>
        <w:t xml:space="preserve"> </w:t>
      </w:r>
      <w:r>
        <w:rPr>
          <w:rFonts w:eastAsia="Arial Unicode MS"/>
        </w:rPr>
        <w:t xml:space="preserve">транспортного средства </w:t>
      </w:r>
      <w:r>
        <w:rPr/>
        <w:t xml:space="preserve">NISSAN Juke </w:t>
      </w:r>
      <w:r>
        <w:rPr>
          <w:rFonts w:eastAsia="Arial Unicode MS"/>
          <w:lang w:val="en-US"/>
        </w:rPr>
        <w:t>VIN</w:t>
      </w:r>
      <w:r>
        <w:rPr>
          <w:rFonts w:eastAsia="Arial Unicode MS"/>
        </w:rPr>
        <w:t xml:space="preserve">: </w:t>
      </w:r>
      <w:r>
        <w:rPr>
          <w:rFonts w:eastAsia="Arial Unicode MS"/>
          <w:color w:val="000000"/>
        </w:rPr>
        <w:t>********</w:t>
      </w:r>
    </w:p>
    <w:p>
      <w:pPr>
        <w:pStyle w:val="Normal"/>
        <w:jc w:val="center"/>
        <w:rPr>
          <w:color w:val="000000"/>
        </w:rPr>
      </w:pPr>
      <w:r>
        <w:rPr>
          <w:color w:val="000000"/>
        </w:rPr>
      </w:r>
    </w:p>
    <w:p>
      <w:pPr>
        <w:pStyle w:val="3"/>
        <w:spacing w:before="0" w:after="0"/>
        <w:rPr>
          <w:rFonts w:ascii="Times New Roman" w:hAnsi="Times New Roman" w:cs="Times New Roman"/>
          <w:i/>
          <w:i/>
          <w:iCs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 xml:space="preserve">Стоимость </w:t>
      </w:r>
      <w:r>
        <w:rPr>
          <w:rStyle w:val="Strong"/>
          <w:rFonts w:cs="Times New Roman" w:ascii="Times New Roman" w:hAnsi="Times New Roman"/>
          <w:b/>
          <w:sz w:val="20"/>
          <w:szCs w:val="20"/>
        </w:rPr>
        <w:t>ремонтных воздействий</w:t>
      </w:r>
    </w:p>
    <w:tbl>
      <w:tblPr>
        <w:tblW w:w="4850" w:type="pct"/>
        <w:jc w:val="left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555"/>
        <w:gridCol w:w="4621"/>
        <w:gridCol w:w="1293"/>
        <w:gridCol w:w="926"/>
        <w:gridCol w:w="925"/>
        <w:gridCol w:w="1716"/>
      </w:tblGrid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Цена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Нормо-час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Кол-во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Дополнительная работа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Дверь передн. лев. - замена [включая: дверь-с/у,обшивки (все)-переставить,дверь-регулировка,нанести антикоррозионное покрытие]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3 150,00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Фара - регулировка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Фара лев.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Фара прав.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Знак номерной передн.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Бампер передн. нижн. часть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Решетка радиатора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Молдинг арки передн. лев. колеса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Крыло передн. лев. - замена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1,30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1 950,00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Щина - с/у (дополнительно)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Шина передн. лев. - с/у (при снятом колесе)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Колесо передн. лев.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Дверь задн. лев. - замена [включая: дверь-с/у,обшивки (все)-переставить,дверь-регулировка,нанести антикоррозионное покрытие]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1,90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2 850,00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Молдинг арки задн. лев. колеса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Боковина задн. лев. - замена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7,90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11 850,00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Шина задн. лев. - с/у (при снятом колесе)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Колесо задн. лев.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Фиксатор бампера задн. лев.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Капот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0,40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Шумоизоляция капота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Арка задн. колеса лев. наружн. - замена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3 150,00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Стойка стабилизатора лев.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Стойка передн. амортизатора - отсоединить/присоединить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1,10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1 650,00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Стойка передн. лев. - с/у (колесо-снято)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Тяга передн. стабилизатора лев.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Рычаг передн. лев.. - отсоединить/присоединить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0,80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1 200,00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Рычаг поперечный передн. лев.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Кулак поворотный - с/у (дополнительно)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Вал привода передн. лев.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Вал привода лев./прав.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1,20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1 800,00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Фонарь стояночный передн. лев. - замена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Фонарь стояночный передн. лев.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Панель приборов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2,60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3 900,00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Сиденье передн. лев.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Стойка передн. лев., порог двери наружн. - замена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16,40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24 600,00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Стекло лобовое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2,50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3 750,00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Накладка центральной консоли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Облицовка крыши передн. - отсоединить/присоединить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Облицовка основания в сборе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0,90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1 350,00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Усилитель арки задн. лев. колеса верхн. - ремонт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2,50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3 750,00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Облицовка крыши - с/у [включая: детали навесные,облицовки необходимые-с/у]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1,50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2 250,00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управления AirBag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Датчик боков. AirBag лев.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Датчик боков. AirBag задн. лев./прав. - с/у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AirBag лев. боков. - с/у [включая: обивка спинки-с/у]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Каркас спинки передн. лев. сиденья - с/у (сиденье-снято) [включая: обивка спинки,накладка подушки лев.,где необходимо AirBag боков.-с/у]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1,10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1 650,00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Автомобиль - установить на стапель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1,50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2 250,00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Стапель - переоборудовать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</w:p>
        </w:tc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Кузов - устранение несложного перекоса - ремонт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2,00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3 000,00</w:t>
            </w:r>
          </w:p>
        </w:tc>
      </w:tr>
      <w:tr>
        <w:trPr/>
        <w:tc>
          <w:tcPr>
            <w:tcW w:w="5176" w:type="dxa"/>
            <w:gridSpan w:val="2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Итого:</w:t>
            </w:r>
          </w:p>
        </w:tc>
        <w:tc>
          <w:tcPr>
            <w:tcW w:w="4860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86 850,00 РУБ.</w:t>
            </w:r>
          </w:p>
        </w:tc>
      </w:tr>
    </w:tbl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3"/>
        <w:spacing w:before="0" w:after="0"/>
        <w:rPr>
          <w:rFonts w:ascii="Times New Roman" w:hAnsi="Times New Roman" w:cs="Times New Roman"/>
          <w:i/>
          <w:i/>
          <w:iCs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Стоимость работ по окраске/контролю</w:t>
      </w:r>
    </w:p>
    <w:tbl>
      <w:tblPr>
        <w:tblW w:w="4850" w:type="pct"/>
        <w:jc w:val="left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555"/>
        <w:gridCol w:w="4621"/>
        <w:gridCol w:w="2"/>
        <w:gridCol w:w="1294"/>
        <w:gridCol w:w="926"/>
        <w:gridCol w:w="923"/>
        <w:gridCol w:w="1715"/>
      </w:tblGrid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46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Цена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Нормо-час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Annotationtext"/>
              <w:jc w:val="center"/>
              <w:rPr/>
            </w:pPr>
            <w:r>
              <w:rPr/>
              <w:t>Кол-во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46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Подготовительная работа и смешивание краски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1,90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2 850,00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46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Бампер передн. - окраска наружных поверхностей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1,20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1 800,00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6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Крыло передн. лев. - окраска новой части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2,00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3 000,00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6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Дверь передн. лев. - окраска новой части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2,60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3 900,00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6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Облицовка ручки двери передн. лев. - окраска наружных поверхностей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6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Дверь задн. лев. - окраска новой части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2,40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3 600,00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6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Боковина лев. задн. часть в сборе - окраска новой части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6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Капот - окраска наружных поверхностей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6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Арка задн. колеса лев. наружн. - окраска внутр.части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6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Стойка средн. лев. - окраска новой части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0,90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1 350,00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46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Стойка передн. лев. - окраска новой части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0,90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1 350,00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46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Порог лев. - окраска новой части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0,80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1 200,00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46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Стойка средн. лев. внутр. - окраска внутр.части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46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Усилитель арки задн. лев. колеса верхн. - окраска внутр.части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46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Подбор колера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450,00</w:t>
            </w:r>
          </w:p>
        </w:tc>
      </w:tr>
      <w:tr>
        <w:trPr/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46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Выкрас образца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1 500,00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450,00</w:t>
            </w:r>
          </w:p>
        </w:tc>
      </w:tr>
      <w:tr>
        <w:trPr/>
        <w:tc>
          <w:tcPr>
            <w:tcW w:w="5176" w:type="dxa"/>
            <w:gridSpan w:val="2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Итого:</w:t>
            </w:r>
          </w:p>
        </w:tc>
        <w:tc>
          <w:tcPr>
            <w:tcW w:w="4860" w:type="dxa"/>
            <w:gridSpan w:val="5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27 900,00 РУБ.</w:t>
            </w:r>
          </w:p>
        </w:tc>
      </w:tr>
      <w:tr>
        <w:trPr/>
        <w:tc>
          <w:tcPr>
            <w:tcW w:w="5176" w:type="dxa"/>
            <w:gridSpan w:val="2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Стоимость ремонтных работ:</w:t>
            </w:r>
          </w:p>
        </w:tc>
        <w:tc>
          <w:tcPr>
            <w:tcW w:w="4860" w:type="dxa"/>
            <w:gridSpan w:val="5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114 750,00 РУБ.</w:t>
            </w:r>
          </w:p>
        </w:tc>
      </w:tr>
    </w:tbl>
    <w:p>
      <w:pPr>
        <w:pStyle w:val="16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3"/>
        <w:spacing w:before="0" w:after="0"/>
        <w:rPr>
          <w:rFonts w:ascii="Times New Roman" w:hAnsi="Times New Roman" w:cs="Times New Roman"/>
          <w:i/>
          <w:i/>
          <w:iCs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Стоимость запасных частей</w:t>
      </w:r>
    </w:p>
    <w:tbl>
      <w:tblPr>
        <w:tblW w:w="10031" w:type="dxa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534"/>
        <w:gridCol w:w="2700"/>
        <w:gridCol w:w="1260"/>
        <w:gridCol w:w="541"/>
        <w:gridCol w:w="359"/>
        <w:gridCol w:w="900"/>
        <w:gridCol w:w="1260"/>
        <w:gridCol w:w="2476"/>
      </w:tblGrid>
      <w:tr>
        <w:trPr>
          <w:trHeight w:val="427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Цена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Кол-во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Износ (%)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102"/>
              <w:rPr>
                <w:lang w:eastAsia="ru-RU"/>
              </w:rPr>
            </w:pPr>
            <w:r>
              <w:rPr>
                <w:lang w:eastAsia="ru-RU"/>
              </w:rPr>
              <w:t>Каталожный номер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Молдинг арки передн. лев. колеса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7 626,00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4 377,32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63861-1KA6A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Крыло передн. лев.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22 868,00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13 126,23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F3101-1KKMB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Повторитель указателя поворота лев.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1 133,00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650,34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26160-8990A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Диск передн. лев. колеса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26 805,00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15 386,07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D0300-1KK2A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Подкрылок передн. лев. колеса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6 980,00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4 006,52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63843-1KE0A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Дверь передн. лев.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107 044,00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61 443,26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H0101-1KKMC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Ручка передн. двери лев. наружн.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2 633,00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1 511,34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80640-1KK0D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Цилиндр замка двери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871,00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499,95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82646-1KK0D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Дверь задн. лев.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45 272,00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25 986,13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H2101-1KKMA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Накладка защитная лев. арки колеса задн.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3 561,00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2 044,01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78861-1KA6A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Боковина лев. задн. часть в сборе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50 868,00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29 198,23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G8113-1KAMA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Диск задн. лев. колеса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26 805,00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15 386,07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D0300-1KK2A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Шина задн. лев.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7 000,00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3 500,00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215/55R17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Фиксатор бампера лев.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2 414,00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1 385,64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78817-1KA0A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Накладка расширительная порога лев.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11 690,00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6 710,06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76851-1KA6A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Арка задн. колеса лев. наружн.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17 463,00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10 023,76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G6713-1KAMA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Опора передн. лев.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22 898,00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13 143,45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E4303-1KA1A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Стойка стабилизатора передн. лев.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1 695,00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972,93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54618-CY00A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Кулак поворотный передн. лев.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21 504,00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21 504,00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40015-1KK0A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Рычаг передн. лев.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17 983,00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10 322,24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54501-1KK0A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Вал привода лев. в сборе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108 618,00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62 346,73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39101-1KA0B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Фонарь стояночный лев.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21 228,00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12 184,87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26125-1KL0B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Облицовка передн. лев. двери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43 143,00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24 764,08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80901-1KK1A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Уплотнитель передн. лев. двери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6 095,00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3 498,53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80831-1KA0A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Рама двери лев.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62 131,00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35 663,19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G6033-1KAMA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Стойка средн. лев. внутр.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21 067,00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12 092,46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G6571-1KAMA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Молдинг порога передн. лев.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18 448,00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10 589,15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769B5-1KA0A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Молдинг порога задн. лев.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1 905,00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1 093,47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769B7-1KA0A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Облицовка средн. лев. стойки нижн.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7 998,00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4 590,85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76916-1KB0A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Динамик передн. лев. двери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3 048,00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1 749,55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28156-EE500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Стеклоподъемник передн. лев.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10 868,00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6 238,23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80721-1KA0A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Облицовка задн. лев. двери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33 130,00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19 016,62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82901-1KK0A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Подушка безопасн.головная передн. лев.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55 556,00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55 556,00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985P1-1KA0B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Облицовка крыши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58 941,00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33 832,13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73910-1KE0A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управления AirBag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68 279,00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39 192,15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K8820-1KV1A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Датчик боков. AirBag лев.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19 402,00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11 136,75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K8830--1EA0A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AirBag лев. боков.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26 056,00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26 056,00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985H1-1KA1B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Обивка спинки передн. лев. сиденья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52 754,00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30 280,80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87670-1KY4A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Подушка передн. лев. спинки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29 259,00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42,60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16 794,67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87661-1KK0B</w:t>
            </w:r>
          </w:p>
        </w:tc>
      </w:tr>
      <w:tr>
        <w:trPr>
          <w:trHeight w:val="149" w:hRule="atLeast"/>
        </w:trPr>
        <w:tc>
          <w:tcPr>
            <w:tcW w:w="503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b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Стоимость мелких деталей (2,00%):</w:t>
            </w:r>
          </w:p>
        </w:tc>
        <w:tc>
          <w:tcPr>
            <w:tcW w:w="499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21 060,78 РУБ.</w:t>
            </w:r>
          </w:p>
        </w:tc>
      </w:tr>
      <w:tr>
        <w:trPr>
          <w:trHeight w:val="149" w:hRule="atLeast"/>
        </w:trPr>
        <w:tc>
          <w:tcPr>
            <w:tcW w:w="503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Итого:</w:t>
            </w:r>
          </w:p>
        </w:tc>
        <w:tc>
          <w:tcPr>
            <w:tcW w:w="499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1 074 099,78 РУБ.</w:t>
            </w:r>
          </w:p>
        </w:tc>
      </w:tr>
      <w:tr>
        <w:trPr>
          <w:trHeight w:val="149" w:hRule="atLeast"/>
        </w:trPr>
        <w:tc>
          <w:tcPr>
            <w:tcW w:w="503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 с износом:</w:t>
            </w:r>
          </w:p>
        </w:tc>
        <w:tc>
          <w:tcPr>
            <w:tcW w:w="499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647 853,78 РУБ.</w:t>
            </w:r>
          </w:p>
        </w:tc>
      </w:tr>
    </w:tbl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3"/>
        <w:spacing w:before="0" w:after="0"/>
        <w:rPr>
          <w:rFonts w:ascii="Times New Roman" w:hAnsi="Times New Roman" w:cs="Times New Roman"/>
          <w:i/>
          <w:i/>
          <w:iCs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Стоимость материалов</w:t>
      </w:r>
    </w:p>
    <w:tbl>
      <w:tblPr>
        <w:tblW w:w="10036" w:type="dxa"/>
        <w:jc w:val="left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538"/>
        <w:gridCol w:w="4501"/>
        <w:gridCol w:w="1260"/>
        <w:gridCol w:w="1260"/>
        <w:gridCol w:w="2477"/>
      </w:tblGrid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Цена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Кол-во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Грунт</w:t>
            </w:r>
            <w:r>
              <w:rPr>
                <w:sz w:val="20"/>
                <w:szCs w:val="20"/>
                <w:lang w:val="en-US"/>
              </w:rPr>
              <w:t xml:space="preserve"> Standoflex Plastic-Primer (</w:t>
            </w:r>
            <w:r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  <w:lang w:val="en-US"/>
              </w:rPr>
              <w:t>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8 960,00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0,09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806,40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Растворитель Standoflex Verdunnung 11100 (л)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1 960,00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392,00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Отвердитель</w:t>
            </w:r>
            <w:r>
              <w:rPr>
                <w:sz w:val="20"/>
                <w:szCs w:val="20"/>
                <w:lang w:val="en-US"/>
              </w:rPr>
              <w:t xml:space="preserve"> Standox 2K Platinum Hardener (</w:t>
            </w:r>
            <w:r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  <w:lang w:val="en-US"/>
              </w:rPr>
              <w:t>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4 550,00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0,68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3 094,00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Лак</w:t>
            </w:r>
            <w:r>
              <w:rPr>
                <w:sz w:val="20"/>
                <w:szCs w:val="20"/>
                <w:lang w:val="en-US"/>
              </w:rPr>
              <w:t xml:space="preserve"> Standocryl 2K-Platinum-Klarlack (</w:t>
            </w:r>
            <w:r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  <w:lang w:val="en-US"/>
              </w:rPr>
              <w:t>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4 200,00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1,20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5 040,00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Растворитель для очистки Standox T2 (л)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1 680,00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1 008,00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Грунт</w:t>
            </w:r>
            <w:r>
              <w:rPr>
                <w:sz w:val="20"/>
                <w:szCs w:val="20"/>
                <w:lang w:val="en-US"/>
              </w:rPr>
              <w:t xml:space="preserve"> 2K-Primer Rotbraun (</w:t>
            </w:r>
            <w:r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  <w:lang w:val="en-US"/>
              </w:rPr>
              <w:t>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3 430,00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1,10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3 773,00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Отвердитель</w:t>
            </w:r>
            <w:r>
              <w:rPr>
                <w:sz w:val="20"/>
                <w:szCs w:val="20"/>
                <w:lang w:val="en-US"/>
              </w:rPr>
              <w:t xml:space="preserve"> Standox 2K-Hardener MS (</w:t>
            </w:r>
            <w:r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  <w:lang w:val="en-US"/>
              </w:rPr>
              <w:t>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4 550,00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0,31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1 410,50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Наждачная бумага (шт)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56,63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21,00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1 189,23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Наждачная бумага (шт)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56,63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21,00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1 189,23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Водостойкая наждачная бумага (шт)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36,85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21,00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773,85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Готовая основа Standox Basislack (л)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5 460,00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2,40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13 104,00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Растворитель Standox MSB-Verdunnung (л)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1 960,00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1,20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2 352,00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Липкая протирочная салфетка (шт)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102,39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22,00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2 252,58</w:t>
            </w:r>
          </w:p>
        </w:tc>
      </w:tr>
      <w:tr>
        <w:trPr/>
        <w:tc>
          <w:tcPr>
            <w:tcW w:w="5039" w:type="dxa"/>
            <w:gridSpan w:val="2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Итого:</w:t>
            </w:r>
          </w:p>
        </w:tc>
        <w:tc>
          <w:tcPr>
            <w:tcW w:w="4997" w:type="dxa"/>
            <w:gridSpan w:val="3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36 384,79 РУБ.</w:t>
            </w:r>
          </w:p>
        </w:tc>
      </w:tr>
    </w:tbl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3"/>
        <w:spacing w:before="0" w:after="0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ВСЕГО</w:t>
      </w:r>
    </w:p>
    <w:tbl>
      <w:tblPr>
        <w:tblW w:w="10031" w:type="dxa"/>
        <w:jc w:val="left"/>
        <w:tblInd w:w="0" w:type="dxa"/>
        <w:tblBorders>
          <w:top w:val="single" w:sz="4" w:space="0" w:color="000000"/>
          <w:bottom w:val="single" w:sz="4" w:space="0" w:color="000000"/>
          <w:insideH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6514"/>
        <w:gridCol w:w="3516"/>
      </w:tblGrid>
      <w:tr>
        <w:trPr/>
        <w:tc>
          <w:tcPr>
            <w:tcW w:w="6514" w:type="dxa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Annotationtext"/>
              <w:tabs>
                <w:tab w:val="clear" w:pos="708"/>
                <w:tab w:val="right" w:pos="8100" w:leader="none"/>
                <w:tab w:val="left" w:pos="8460" w:leader="none"/>
              </w:tabs>
              <w:rPr/>
            </w:pPr>
            <w:r>
              <w:rPr/>
              <w:t>стоимость восстановительного ремонта КТС (с учетом износа):</w:t>
            </w:r>
          </w:p>
        </w:tc>
        <w:tc>
          <w:tcPr>
            <w:tcW w:w="3516" w:type="dxa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Annotationtext"/>
              <w:tabs>
                <w:tab w:val="clear" w:pos="708"/>
                <w:tab w:val="right" w:pos="8100" w:leader="none"/>
                <w:tab w:val="left" w:pos="8460" w:leader="none"/>
              </w:tabs>
              <w:jc w:val="right"/>
              <w:rPr/>
            </w:pPr>
            <w:r>
              <w:rPr>
                <w:b/>
              </w:rPr>
              <w:t>820 049,35 РУБ.</w:t>
            </w:r>
          </w:p>
        </w:tc>
      </w:tr>
      <w:tr>
        <w:trPr/>
        <w:tc>
          <w:tcPr>
            <w:tcW w:w="6514" w:type="dxa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Annotationtext"/>
              <w:tabs>
                <w:tab w:val="clear" w:pos="708"/>
                <w:tab w:val="right" w:pos="8100" w:leader="none"/>
                <w:tab w:val="left" w:pos="8460" w:leader="none"/>
              </w:tabs>
              <w:rPr/>
            </w:pPr>
            <w:r>
              <w:rPr/>
              <w:t>стоимость восстановительного ремонта КТС (без учета износа):</w:t>
            </w:r>
          </w:p>
        </w:tc>
        <w:tc>
          <w:tcPr>
            <w:tcW w:w="3516" w:type="dxa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Annotationtext"/>
              <w:tabs>
                <w:tab w:val="clear" w:pos="708"/>
                <w:tab w:val="right" w:pos="8100" w:leader="none"/>
                <w:tab w:val="left" w:pos="8460" w:leader="none"/>
              </w:tabs>
              <w:jc w:val="right"/>
              <w:rPr/>
            </w:pPr>
            <w:r>
              <w:rPr>
                <w:b/>
              </w:rPr>
              <w:t>1 225 234,57 РУБ.</w:t>
            </w:r>
          </w:p>
        </w:tc>
      </w:tr>
    </w:tbl>
    <w:p>
      <w:pPr>
        <w:pStyle w:val="Default"/>
        <w:spacing w:before="0" w:after="0"/>
        <w:jc w:val="center"/>
        <w:rPr>
          <w:rFonts w:ascii="Times New Roman" w:hAnsi="Times New Roman" w:cs="Times New Roman"/>
          <w:b/>
          <w:b/>
          <w:sz w:val="20"/>
        </w:rPr>
      </w:pPr>
      <w:r>
        <w:rPr>
          <w:rFonts w:cs="Times New Roman" w:ascii="Times New Roman" w:hAnsi="Times New Roman"/>
          <w:b/>
          <w:sz w:val="20"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jc w:val="center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jc w:val="center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rPr>
          <w:b/>
          <w:b/>
          <w:bCs/>
        </w:rPr>
      </w:pPr>
      <w:r>
        <w:rPr>
          <w:b/>
          <w:bCs/>
        </w:rPr>
        <w:t xml:space="preserve">Эксперт-техник                                                                   </w:t>
      </w:r>
      <w:r>
        <w:rPr>
          <w:bCs/>
        </w:rPr>
        <w:t xml:space="preserve">_________________ </w:t>
      </w:r>
      <w:r>
        <w:rPr>
          <w:b/>
          <w:bCs/>
        </w:rPr>
        <w:t>Григорьев М.А.</w:t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jc w:val="center"/>
        <w:rPr>
          <w:b/>
          <w:b/>
        </w:rPr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  <w:t>ПРИЛОЖЕНИЕ №5</w:t>
        <w:tab/>
      </w:r>
    </w:p>
    <w:p>
      <w:pPr>
        <w:pStyle w:val="Normal"/>
        <w:jc w:val="both"/>
        <w:rPr>
          <w:b/>
          <w:b/>
        </w:rPr>
      </w:pPr>
      <w:r>
        <w:rPr>
          <w:b/>
        </w:rPr>
        <w:t>*</w:t>
      </w:r>
      <w:r>
        <w:rPr>
          <w:b/>
          <w:sz w:val="20"/>
          <w:szCs w:val="20"/>
        </w:rPr>
        <w:t xml:space="preserve">фотоматериал зафиксированных повреждений, возможно получить в электронном виде, выслав запрос на почту </w:t>
      </w:r>
      <w:r>
        <w:rPr>
          <w:b/>
          <w:bCs/>
          <w:sz w:val="20"/>
          <w:szCs w:val="20"/>
          <w:lang w:val="en-US"/>
        </w:rPr>
        <w:t>euro</w:t>
      </w:r>
      <w:r>
        <w:rPr>
          <w:b/>
          <w:bCs/>
          <w:sz w:val="20"/>
          <w:szCs w:val="20"/>
        </w:rPr>
        <w:t>.</w:t>
      </w:r>
      <w:r>
        <w:rPr>
          <w:b/>
          <w:bCs/>
          <w:sz w:val="20"/>
          <w:szCs w:val="20"/>
          <w:lang w:val="en-US"/>
        </w:rPr>
        <w:t>otsenka</w:t>
      </w:r>
      <w:r>
        <w:rPr>
          <w:b/>
          <w:bCs/>
          <w:sz w:val="20"/>
          <w:szCs w:val="20"/>
        </w:rPr>
        <w:t>@</w:t>
      </w:r>
      <w:r>
        <w:rPr>
          <w:b/>
          <w:bCs/>
          <w:sz w:val="20"/>
          <w:szCs w:val="20"/>
          <w:lang w:val="en-US"/>
        </w:rPr>
        <w:t>gmail</w:t>
      </w:r>
      <w:r>
        <w:rPr>
          <w:b/>
          <w:bCs/>
          <w:sz w:val="20"/>
          <w:szCs w:val="20"/>
        </w:rPr>
        <w:t>.</w:t>
      </w:r>
      <w:r>
        <w:rPr>
          <w:b/>
          <w:bCs/>
          <w:sz w:val="20"/>
          <w:szCs w:val="20"/>
          <w:lang w:val="en-US"/>
        </w:rPr>
        <w:t>com</w:t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tbl>
      <w:tblPr>
        <w:tblW w:w="11057" w:type="dxa"/>
        <w:jc w:val="left"/>
        <w:tblInd w:w="-572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5321"/>
        <w:gridCol w:w="5735"/>
      </w:tblGrid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24" name="imgBROWSE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gBROWSE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25" name="imgBROWSE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gBROWSE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26" name="imgBROWSE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gBROWSE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27" name="imgBROWSE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gBROWSE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28" name="imgBROWSE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gBROWSE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29" name="imgBROWSE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gBROWSE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0" name="imgBROWSE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gBROWSE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1" name="imgBROWSE1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gBROWSE1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2" name="imgBROWSE1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gBROWSE1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3" name="imgBROWSE1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gBROWSE1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4" name="imgBROWSE1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gBROWSE1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5" name="imgBROWSE1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gBROWSE1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6" name="imgBROWSE1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gBROWSE1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7" name="imgBROWSE1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gBROWSE1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8" name="imgBROWSE1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gBROWSE1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9" name="imgBROWSE2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gBROWSE2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0" name="imgBROWSE2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gBROWSE2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1" name="imgBROWSE2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gBROWSE2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2" name="imgBROWSE2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gBROWSE2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3" name="imgBROWSE2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imgBROWSE2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4" name="imgBROWSE2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gBROWSE2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5" name="imgBROWSE2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imgBROWSE2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6" name="imgBROWSE2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gBROWSE2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7" name="imgBROWSE2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gBROWSE2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8" name="imgBROWSE2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gBROWSE2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9" name="imgBROWSE3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gBROWSE3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0" name="imgBROWSE3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gBROWSE3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1" name="imgBROWSE3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gBROWSE3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2" name="imgBROWSE3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gBROWSE3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3" name="imgBROWSE3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gBROWSE3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4" name="imgBROWSE3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gBROWSE3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5" name="imgBROWSE3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mgBROWSE3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6" name="imgBROWSE3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gBROWSE3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7" name="imgBROWSE3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gBROWSE3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8" name="imgBROWSE3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gBROWSE3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9" name="imgBROWSE4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imgBROWSE4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0" name="imgBROWSE4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gBROWSE4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1" name="imgBROWSE4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gBROWSE4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2" name="imgBROWSE4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gBROWSE4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3" name="imgBROWSE4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gBROWSE4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4" name="imgBROWSE4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gBROWSE4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5" name="imgBROWSE4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imgBROWSE4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6" name="imgBROWSE4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gBROWSE4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7" name="imgBROWSE4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imgBROWSE4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8" name="imgBROWSE4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gBROWSE4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9" name="imgBROWSE5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imgBROWSE5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0" name="imgBROWSE5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gBROWSE5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1" name="imgBROWSE5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imgBROWSE5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2" name="imgBROWSE5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gBROWSE5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3" name="imgBROWSE5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imgBROWSE5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4" name="imgBROWSE5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gBROWSE5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5" name="imgBROWSE5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mgBROWSE5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6" name="imgBROWSE5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gBROWSE5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7" name="imgBROWSE5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imgBROWSE5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8" name="imgBROWSE5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gBROWSE5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9" name="imgBROWSE6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imgBROWSE6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0" name="imgBROWSE6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gBROWSE6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1" name="imgBROWSE6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imgBROWSE6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2" name="imgBROWSE6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gBROWSE6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3" name="imgBROWSE6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imgBROWSE6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4" name="imgBROWSE6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gBROWSE6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5" name="imgBROWSE6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imgBROWSE6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6" name="imgBROWSE6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gBROWSE6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7" name="imgBROWSE6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imgBROWSE6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8" name="imgBROWSE6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gBROWSE6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9" name="imgBROWSE7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imgBROWSE7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0" name="imgBROWSE7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gBROWSE7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1" name="imgBROWSE7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imgBROWSE7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2" name="imgBROWSE7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gBROWSE7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3" name="imgBROWSE7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imgBROWSE7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4" name="imgBROWSE7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gBROWSE7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5" name="imgBROWSE7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imgBROWSE7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6" name="imgBROWSE7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gBROWSE7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7" name="imgBROWSE7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imgBROWSE7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8" name="imgBROWSE7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gBROWSE7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9" name="imgBROWSE8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imgBROWSE8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0" name="imgBROWSE8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gBROWSE8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1" name="imgBROWSE8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imgBROWSE8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2" name="imgBROWSE8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gBROWSE8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3" name="imgBROWSE8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imgBROWSE8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4" name="imgBROWSE8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gBROWSE8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5" name="imgBROWSE8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imgBROWSE8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6" name="imgBROWSE8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gBROWSE8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7" name="imgBROWSE8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imgBROWSE8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8" name="imgBROWSE8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gBROWSE8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9" name="imgBROWSE9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imgBROWSE9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0" name="imgBROWSE9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gBROWSE9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1" name="imgBROWSE9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imgBROWSE9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2" name="imgBROWSE9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gBROWSE9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3" name="imgBROWSE9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imgBROWSE9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4" name="imgBROWSE9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gBROWSE9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5" name="imgBROWSE9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imgBROWSE9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6" name="imgBROWSE9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gBROWSE9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7" name="imgBROWSE9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imgBROWSE9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8" name="imgBROWSE9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gBROWSE9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9" name="imgBROWSE10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imgBROWSE10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0" name="imgBROWSE10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gBROWSE10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1" name="imgBROWSE10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imgBROWSE10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2" name="imgBROWSE10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gBROWSE10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3" name="imgBROWSE10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imgBROWSE10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4" name="imgBROWSE10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gBROWSE10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5" name="imgBROWSE10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imgBROWSE10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6" name="imgBROWSE10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gBROWSE10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7" name="imgBROWSE10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imgBROWSE10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8" name="imgBROWSE10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gBROWSE10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9" name="imgBROWSE1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imgBROWSE1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0" name="imgBROWSE1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gBROWSE1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1" name="imgBROWSE11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imgBROWSE11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2" name="imgBROWSE11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gBROWSE11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3" name="imgBROWSE11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imgBROWSE11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4" name="imgBROWSE11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gBROWSE11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5" name="imgBROWSE11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imgBROWSE11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6" name="imgBROWSE11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gBROWSE11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7" name="imgBROWSE11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imgBROWSE11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8" name="imgBROWSE11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gBROWSE11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9" name="imgBROWSE12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imgBROWSE12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0" name="imgBROWSE12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gBROWSE12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1" name="imgBROWSE12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imgBROWSE12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2" name="imgBROWSE12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gBROWSE12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3" name="imgBROWSE12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imgBROWSE12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4" name="imgBROWSE12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gBROWSE12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5" name="imgBROWSE12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imgBROWSE12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6" name="imgBROWSE12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gBROWSE12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7" name="imgBROWSE12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imgBROWSE12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8" name="imgBROWSE12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gBROWSE12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9" name="imgBROWSE13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imgBROWSE13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50" name="imgBROWSE13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gBROWSE13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51" name="imgBROWSE13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imgBROWSE13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</w:tbl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>
          <w:b/>
        </w:rPr>
        <w:t xml:space="preserve">     </w:t>
      </w:r>
      <w:r>
        <w:br w:type="page"/>
      </w:r>
    </w:p>
    <w:p>
      <w:pPr>
        <w:pStyle w:val="Normal"/>
        <w:jc w:val="center"/>
        <w:rPr/>
      </w:pPr>
      <w:r>
        <w:rPr>
          <w:b/>
        </w:rPr>
        <w:t>ПРИЛОЖЕНИЕ №6</w:t>
        <w:tab/>
      </w:r>
    </w:p>
    <w:p>
      <w:pPr>
        <w:pStyle w:val="Normal"/>
        <w:jc w:val="center"/>
        <w:rPr/>
      </w:pPr>
      <w:r>
        <w:rPr/>
        <w:t>Выборка аналогов ТС</w:t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/>
        <mc:AlternateContent>
          <mc:Choice Requires="wps">
            <w:drawing>
              <wp:inline distT="0" distB="0" distL="0" distR="0">
                <wp:extent cx="6179185" cy="2992120"/>
                <wp:effectExtent l="0" t="0" r="0" b="0"/>
                <wp:docPr id="15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" descr=""/>
                        <pic:cNvPicPr/>
                      </pic:nvPicPr>
                      <pic:blipFill>
                        <a:blip r:embed="rId169"/>
                        <a:stretch/>
                      </pic:blipFill>
                      <pic:spPr>
                        <a:xfrm>
                          <a:off x="0" y="0"/>
                          <a:ext cx="6178680" cy="2991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35.6pt;width:486.45pt;height:235.5pt;mso-position-vertical:top" type="shapetype_75">
                <v:imagedata r:id="rId16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179185" cy="2992120"/>
                <wp:effectExtent l="0" t="0" r="0" b="0"/>
                <wp:docPr id="15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" descr=""/>
                        <pic:cNvPicPr/>
                      </pic:nvPicPr>
                      <pic:blipFill>
                        <a:blip r:embed="rId170"/>
                        <a:stretch/>
                      </pic:blipFill>
                      <pic:spPr>
                        <a:xfrm>
                          <a:off x="0" y="0"/>
                          <a:ext cx="6178680" cy="2991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35.6pt;width:486.45pt;height:235.5pt;mso-position-vertical:top" type="shapetype_75">
                <v:imagedata r:id="rId170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179185" cy="2992120"/>
                <wp:effectExtent l="0" t="0" r="0" b="0"/>
                <wp:docPr id="15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" descr=""/>
                        <pic:cNvPicPr/>
                      </pic:nvPicPr>
                      <pic:blipFill>
                        <a:blip r:embed="rId171"/>
                        <a:stretch/>
                      </pic:blipFill>
                      <pic:spPr>
                        <a:xfrm>
                          <a:off x="0" y="0"/>
                          <a:ext cx="6178680" cy="2991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35.6pt;width:486.45pt;height:235.5pt;mso-position-vertical:top" type="shapetype_75">
                <v:imagedata r:id="rId171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70980" cy="3175000"/>
                <wp:effectExtent l="0" t="0" r="0" b="0"/>
                <wp:docPr id="15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" descr=""/>
                        <pic:cNvPicPr/>
                      </pic:nvPicPr>
                      <pic:blipFill>
                        <a:blip r:embed="rId172"/>
                        <a:stretch/>
                      </pic:blipFill>
                      <pic:spPr>
                        <a:xfrm>
                          <a:off x="0" y="0"/>
                          <a:ext cx="6570360" cy="31744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50pt;width:517.3pt;height:249.9pt;mso-position-vertical:top" type="shapetype_75">
                <v:imagedata r:id="rId172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70980" cy="3175000"/>
                <wp:effectExtent l="0" t="0" r="0" b="0"/>
                <wp:docPr id="15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" descr=""/>
                        <pic:cNvPicPr/>
                      </pic:nvPicPr>
                      <pic:blipFill>
                        <a:blip r:embed="rId173"/>
                        <a:stretch/>
                      </pic:blipFill>
                      <pic:spPr>
                        <a:xfrm>
                          <a:off x="0" y="0"/>
                          <a:ext cx="6570360" cy="31744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50pt;width:517.3pt;height:249.9pt;mso-position-vertical:top" type="shapetype_75">
                <v:imagedata r:id="rId173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  <w:t xml:space="preserve">     </w:t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  <w:t xml:space="preserve">     </w:t>
      </w:r>
      <w:r>
        <w:rPr>
          <w:b/>
        </w:rPr>
        <w:t>ПРИЛОЖЕНИЕ №7</w:t>
        <w:tab/>
      </w:r>
    </w:p>
    <w:p>
      <w:pPr>
        <w:pStyle w:val="Normal"/>
        <w:jc w:val="center"/>
        <w:rPr/>
      </w:pPr>
      <w:r>
        <w:rPr/>
        <w:t>Документы специалистов</w:t>
      </w:r>
    </w:p>
    <w:tbl>
      <w:tblPr>
        <w:tblStyle w:val="ab"/>
        <w:tblW w:w="10348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4967"/>
        <w:gridCol w:w="5380"/>
      </w:tblGrid>
      <w:tr>
        <w:trPr/>
        <w:tc>
          <w:tcPr>
            <w:tcW w:w="4967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ormal"/>
              <w:jc w:val="center"/>
              <w:rPr>
                <w:b/>
                <w:b/>
              </w:rPr>
            </w:pPr>
            <w:r>
              <w:rPr/>
              <w:drawing>
                <wp:inline distT="0" distB="635" distL="0" distR="0">
                  <wp:extent cx="2938780" cy="4095115"/>
                  <wp:effectExtent l="0" t="0" r="0" b="0"/>
                  <wp:docPr id="157" name="Рисунок 149" descr="C:\Users\smena\AppData\Local\Microsoft\Windows\INetCache\Content.Word\Сертификат Пользователя ПО Аудатэкс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Рисунок 149" descr="C:\Users\smena\AppData\Local\Microsoft\Windows\INetCache\Content.Word\Сертификат Пользователя ПО Аудатэкс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780" cy="4095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0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ormal"/>
              <w:jc w:val="center"/>
              <w:rPr>
                <w:b/>
                <w:b/>
              </w:rPr>
            </w:pPr>
            <w:r>
              <w:rPr/>
              <w:drawing>
                <wp:inline distT="0" distB="0" distL="0" distR="0">
                  <wp:extent cx="3124200" cy="4133850"/>
                  <wp:effectExtent l="0" t="0" r="0" b="0"/>
                  <wp:docPr id="158" name="Рисунок 15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Рисунок 15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413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4967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ormal"/>
              <w:jc w:val="center"/>
              <w:rPr>
                <w:b/>
                <w:b/>
              </w:rPr>
            </w:pPr>
            <w:r>
              <w:rPr/>
              <w:drawing>
                <wp:inline distT="0" distB="9525" distL="0" distR="0">
                  <wp:extent cx="3067050" cy="4371975"/>
                  <wp:effectExtent l="0" t="0" r="0" b="0"/>
                  <wp:docPr id="159" name="Рисунок 15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Рисунок 15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437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0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ormal"/>
              <w:jc w:val="center"/>
              <w:rPr>
                <w:b/>
                <w:b/>
              </w:rPr>
            </w:pPr>
            <w:r>
              <w:rPr/>
              <mc:AlternateContent>
                <mc:Choice Requires="wps">
                  <w:drawing>
                    <wp:inline distT="0" distB="0" distL="0" distR="0" wp14:anchorId="65E78BBD">
                      <wp:extent cx="4401185" cy="3324860"/>
                      <wp:effectExtent l="4762" t="0" r="4763" b="4762"/>
                      <wp:docPr id="160" name="Рисунок 6"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" name="Рисунок 6" descr=""/>
                              <pic:cNvPicPr/>
                            </pic:nvPicPr>
                            <pic:blipFill>
                              <a:blip r:embed="rId177"/>
                              <a:stretch/>
                            </pic:blipFill>
                            <pic:spPr>
                              <a:xfrm rot="16200000">
                                <a:off x="0" y="0"/>
                                <a:ext cx="4400640" cy="332424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 id="shape_0" ID="Рисунок 6" stroked="f" style="position:absolute;margin-left:-42.35pt;margin-top:-304.2pt;width:346.45pt;height:261.7pt;rotation:270;mso-position-vertical:top" wp14:anchorId="65E78BBD" type="shapetype_75">
                      <v:imagedata r:id="rId177" o:detectmouseclick="t"/>
                      <w10:wrap type="none"/>
                      <v:stroke color="#3465a4" joinstyle="round" endcap="flat"/>
                    </v:shape>
                  </w:pict>
                </mc:Fallback>
              </mc:AlternateContent>
            </w:r>
          </w:p>
        </w:tc>
      </w:tr>
    </w:tbl>
    <w:p>
      <w:pPr>
        <w:pStyle w:val="Normal"/>
        <w:jc w:val="center"/>
        <w:rPr/>
      </w:pPr>
      <w:r>
        <w:rPr/>
      </w:r>
    </w:p>
    <w:sectPr>
      <w:headerReference w:type="default" r:id="rId178"/>
      <w:footerReference w:type="default" r:id="rId179"/>
      <w:type w:val="nextPage"/>
      <w:pgSz w:w="11906" w:h="16838"/>
      <w:pgMar w:left="1134" w:right="424" w:header="227" w:top="851" w:footer="0" w:bottom="851" w:gutter="0"/>
      <w:pgNumType w:fmt="decimal"/>
      <w:formProt w:val="false"/>
      <w:titlePg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variable"/>
  </w:font>
  <w:font w:name="Arial">
    <w:charset w:val="01"/>
    <w:family w:val="roman"/>
    <w:pitch w:val="variable"/>
  </w:font>
  <w:font w:name="Calibri">
    <w:charset w:val="01"/>
    <w:family w:val="roman"/>
    <w:pitch w:val="variable"/>
  </w:font>
  <w:font w:name="Tahoma">
    <w:charset w:val="01"/>
    <w:family w:val="roman"/>
    <w:pitch w:val="variable"/>
  </w:font>
  <w:font w:name="Arial Narrow">
    <w:charset w:val="01"/>
    <w:family w:val="roman"/>
    <w:pitch w:val="variable"/>
  </w:font>
  <w:font w:name="Arial Unicode MS"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Vanta Light">
    <w:charset w:val="01"/>
    <w:family w:val="roman"/>
    <w:pitch w:val="variable"/>
  </w:font>
  <w:font w:name="Myriad Pro Cond">
    <w:charset w:val="01"/>
    <w:family w:val="roman"/>
    <w:pitch w:val="variable"/>
  </w:font>
  <w:font w:name="Courier New">
    <w:charset w:val="01"/>
    <w:family w:val="roman"/>
    <w:pitch w:val="variable"/>
  </w:font>
  <w:font w:name="Cambria Math">
    <w:charset w:val="01"/>
    <w:family w:val="roman"/>
    <w:pitch w:val="variable"/>
  </w:font>
  <w:font w:name="Symbol">
    <w:charset w:val="02"/>
    <w:family w:val="auto"/>
    <w:pitch w:val="default"/>
  </w:font>
  <w:font w:name="Courier New">
    <w:charset w:val="01"/>
    <w:family w:val="auto"/>
    <w:pitch w:val="default"/>
  </w:font>
  <w:font w:name="Wingdings">
    <w:charset w:val="02"/>
    <w:family w:val="auto"/>
    <w:pitch w:val="default"/>
  </w:font>
  <w:font w:name="Times New Roman">
    <w:charset w:val="01"/>
    <w:family w:val="auto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31"/>
      <w:jc w:val="center"/>
      <w:rPr/>
    </w:pPr>
    <w:r>
      <w:rPr/>
      <w:fldChar w:fldCharType="begin"/>
    </w:r>
    <w:r>
      <w:rPr/>
      <w:instrText> PAGE </w:instrText>
    </w:r>
    <w:r>
      <w:rPr/>
      <w:fldChar w:fldCharType="separate"/>
    </w:r>
    <w:r>
      <w:rPr/>
      <w:t>61</w:t>
    </w:r>
    <w:r>
      <w:rPr/>
      <w:fldChar w:fldCharType="end"/>
    </w:r>
  </w:p>
  <w:p>
    <w:pPr>
      <w:pStyle w:val="Style31"/>
      <w:rPr/>
    </w:pPr>
    <w:r>
      <w:rPr/>
    </w:r>
  </w:p>
  <w:p>
    <w:pPr>
      <w:pStyle w:val="Normal"/>
      <w:rPr/>
    </w:pPr>
    <w:r>
      <w:rPr/>
    </w:r>
  </w:p>
  <w:p>
    <w:pPr>
      <w:pStyle w:val="Normal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30"/>
      <w:pBdr>
        <w:bottom w:val="thickThinSmallGap" w:sz="24" w:space="1" w:color="823B0B"/>
      </w:pBdr>
      <w:jc w:val="center"/>
      <w:rPr>
        <w:b/>
        <w:b/>
        <w:szCs w:val="32"/>
      </w:rPr>
    </w:pPr>
    <w:r>
      <w:rPr>
        <w:b/>
        <w:szCs w:val="32"/>
        <w:lang w:val="ru-RU"/>
      </w:rPr>
      <w:t>Заключение</w:t>
    </w:r>
    <w:r>
      <w:rPr>
        <w:b/>
        <w:szCs w:val="32"/>
      </w:rPr>
      <w:t xml:space="preserve"> </w:t>
    </w:r>
    <w:r>
      <w:rPr>
        <w:b/>
      </w:rPr>
      <w:t>№</w:t>
    </w:r>
    <w:r>
      <w:rPr>
        <w:b/>
        <w:bCs/>
        <w:color w:val="000000" w:themeColor="text1"/>
      </w:rPr>
      <w:t xml:space="preserve">5804-0223                                  </w:t>
    </w:r>
    <w:r>
      <w:rPr>
        <w:b/>
        <w:bCs/>
        <w:color w:val="000000" w:themeColor="text1"/>
        <w:lang w:val="ru-RU"/>
      </w:rPr>
      <w:t xml:space="preserve">         </w:t>
    </w:r>
    <w:r>
      <w:rPr>
        <w:b/>
        <w:bCs/>
        <w:color w:val="000000" w:themeColor="text1"/>
      </w:rPr>
      <w:t xml:space="preserve">                              </w:t>
    </w:r>
    <w:r>
      <w:rPr>
        <w:b/>
        <w:szCs w:val="32"/>
      </w:rPr>
      <w:t>Европейский Центр Оценки</w:t>
    </w:r>
  </w:p>
  <w:p>
    <w:pPr>
      <w:pStyle w:val="Normal"/>
      <w:rPr>
        <w:lang w:val="x-none"/>
      </w:rPr>
    </w:pPr>
    <w:r>
      <w:rPr>
        <w:lang w:val="x-none"/>
      </w:rPr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4"/>
        <w:rFonts w:ascii="Times New Roman" w:hAnsi="Times New Roman"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rFonts w:cs="Times New Roman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  <w:rFonts w:cs="Times New Roman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  <w:rFonts w:cs="Times New Roman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"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lvl w:ilvl="0">
      <w:start w:val="1"/>
      <w:numFmt w:val="bullet"/>
      <w:lvlText w:val="-"/>
      <w:lvlJc w:val="left"/>
      <w:pPr>
        <w:ind w:left="0" w:hanging="0"/>
      </w:pPr>
      <w:rPr>
        <w:rFonts w:ascii="Times New Roman" w:hAnsi="Times New Roman" w:cs="Times New Roman" w:hint="default"/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effect w:val="none"/>
        <w:szCs w:val="19"/>
        <w:iCs w:val="false"/>
        <w:bCs w:val="false"/>
        <w:w w:val="100"/>
        <w:rFonts w:cs="Times New Roman"/>
        <w:color w:val="000000"/>
        <w:lang w:val="ru-RU" w:eastAsia="ru-RU" w:bidi="ru-RU"/>
      </w:r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abstractNum w:abstractNumId="5">
    <w:lvl w:ilvl="0">
      <w:start w:val="1"/>
      <w:numFmt w:val="decimal"/>
      <w:lvlText w:val="%1."/>
      <w:lvlJc w:val="left"/>
      <w:pPr>
        <w:ind w:left="900" w:hanging="360"/>
      </w:pPr>
    </w:lvl>
    <w:lvl w:ilvl="1">
      <w:start w:val="1"/>
      <w:numFmt w:val="lowerLetter"/>
      <w:lvlText w:val="%2."/>
      <w:lvlJc w:val="left"/>
      <w:pPr>
        <w:ind w:left="1620" w:hanging="360"/>
      </w:pPr>
    </w:lvl>
    <w:lvl w:ilvl="2">
      <w:start w:val="1"/>
      <w:numFmt w:val="lowerRoman"/>
      <w:lvlText w:val="%3."/>
      <w:lvlJc w:val="right"/>
      <w:pPr>
        <w:ind w:left="2340" w:hanging="180"/>
      </w:pPr>
    </w:lvl>
    <w:lvl w:ilvl="3">
      <w:start w:val="1"/>
      <w:numFmt w:val="decimal"/>
      <w:lvlText w:val="%4."/>
      <w:lvlJc w:val="left"/>
      <w:pPr>
        <w:ind w:left="3060" w:hanging="360"/>
      </w:pPr>
    </w:lvl>
    <w:lvl w:ilvl="4">
      <w:start w:val="1"/>
      <w:numFmt w:val="lowerLetter"/>
      <w:lvlText w:val="%5."/>
      <w:lvlJc w:val="left"/>
      <w:pPr>
        <w:ind w:left="3780" w:hanging="360"/>
      </w:pPr>
    </w:lvl>
    <w:lvl w:ilvl="5">
      <w:start w:val="1"/>
      <w:numFmt w:val="lowerRoman"/>
      <w:lvlText w:val="%6."/>
      <w:lvlJc w:val="right"/>
      <w:pPr>
        <w:ind w:left="4500" w:hanging="180"/>
      </w:pPr>
    </w:lvl>
    <w:lvl w:ilvl="6">
      <w:start w:val="1"/>
      <w:numFmt w:val="decimal"/>
      <w:lvlText w:val="%7."/>
      <w:lvlJc w:val="left"/>
      <w:pPr>
        <w:ind w:left="5220" w:hanging="360"/>
      </w:pPr>
    </w:lvl>
    <w:lvl w:ilvl="7">
      <w:start w:val="1"/>
      <w:numFmt w:val="lowerLetter"/>
      <w:lvlText w:val="%8."/>
      <w:lvlJc w:val="left"/>
      <w:pPr>
        <w:ind w:left="5940" w:hanging="360"/>
      </w:pPr>
    </w:lvl>
    <w:lvl w:ilvl="8">
      <w:start w:val="1"/>
      <w:numFmt w:val="lowerRoman"/>
      <w:lvlText w:val="%9."/>
      <w:lvlJc w:val="right"/>
      <w:pPr>
        <w:ind w:left="6660" w:hanging="180"/>
      </w:pPr>
    </w:lvl>
  </w:abstractNum>
  <w:abstractNum w:abstractNumId="6">
    <w:lvl w:ilvl="0">
      <w:start w:val="1"/>
      <w:numFmt w:val="bullet"/>
      <w:lvlText w:val="-"/>
      <w:lvlJc w:val="left"/>
      <w:pPr>
        <w:ind w:left="0" w:hanging="0"/>
      </w:pPr>
      <w:rPr>
        <w:rFonts w:ascii="Times New Roman" w:hAnsi="Times New Roman" w:cs="Times New Roman" w:hint="default"/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szCs w:val="19"/>
        <w:iCs w:val="false"/>
        <w:bCs w:val="false"/>
        <w:w w:val="100"/>
        <w:rFonts w:cs="Times New Roman"/>
        <w:color w:val="000000"/>
        <w:lang w:val="ru-RU" w:eastAsia="ru-RU" w:bidi="ru-RU"/>
      </w:r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abstractNum w:abstractNumId="7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</w:numbering>
</file>

<file path=word/settings.xml><?xml version="1.0" encoding="utf-8"?>
<w:settings xmlns:w="http://schemas.openxmlformats.org/wordprocessingml/2006/main">
  <w:zoom w:percent="95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ru-RU" w:eastAsia="ru-RU" w:bidi="ar-SA"/>
      </w:rPr>
    </w:rPrDefault>
    <w:pPrDefault>
      <w:pPr/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annotation text" w:uiPriority="99"/>
    <w:lsdException w:name="header" w:uiPriority="99"/>
    <w:lsdException w:name="footer" w:uiPriority="99"/>
    <w:lsdException w:name="caption" w:qFormat="1"/>
    <w:lsdException w:name="Title" w:uiPriority="99" w:qFormat="1"/>
    <w:lsdException w:name="Subtitle" w:qFormat="1"/>
    <w:lsdException w:name="Hyperlink" w:uiPriority="99"/>
    <w:lsdException w:name="FollowedHyperlink" w:uiPriority="99"/>
    <w:lsdException w:name="Strong" w:uiPriority="99" w:qFormat="1"/>
    <w:lsdException w:name="Emphasis" w:uiPriority="20" w:qFormat="1"/>
    <w:lsdException w:name="Normal (Web)" w:uiPriority="99"/>
    <w:lsdException w:name="HTML Keyboard" w:semiHidden="1" w:unhideWhenUsed="1"/>
    <w:lsdException w:name="HTML Preformatte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uiPriority="99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a968b8"/>
    <w:pPr>
      <w:widowControl/>
      <w:bidi w:val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ru-RU" w:eastAsia="ru-RU" w:bidi="ar-SA"/>
    </w:rPr>
  </w:style>
  <w:style w:type="paragraph" w:styleId="1">
    <w:name w:val="Heading 1"/>
    <w:basedOn w:val="Normal"/>
    <w:next w:val="Normal"/>
    <w:autoRedefine/>
    <w:qFormat/>
    <w:rsid w:val="00605589"/>
    <w:pPr>
      <w:keepNext w:val="true"/>
      <w:tabs>
        <w:tab w:val="clear" w:pos="708"/>
        <w:tab w:val="left" w:pos="-1260" w:leader="none"/>
        <w:tab w:val="left" w:pos="-900" w:leader="none"/>
        <w:tab w:val="left" w:pos="2160" w:leader="none"/>
        <w:tab w:val="left" w:pos="7230" w:leader="none"/>
      </w:tabs>
      <w:overflowPunct w:val="true"/>
      <w:spacing w:before="0" w:after="0"/>
      <w:contextualSpacing/>
      <w:jc w:val="center"/>
      <w:textAlignment w:val="baseline"/>
      <w:outlineLvl w:val="0"/>
    </w:pPr>
    <w:rPr>
      <w:rFonts w:ascii="Arial" w:hAnsi="Arial" w:cs="Arial"/>
      <w:kern w:val="2"/>
      <w:sz w:val="18"/>
      <w:szCs w:val="18"/>
    </w:rPr>
  </w:style>
  <w:style w:type="paragraph" w:styleId="2">
    <w:name w:val="Heading 2"/>
    <w:basedOn w:val="Normal"/>
    <w:next w:val="Normal"/>
    <w:autoRedefine/>
    <w:qFormat/>
    <w:rsid w:val="000546f8"/>
    <w:pPr>
      <w:keepNext w:val="true"/>
      <w:overflowPunct w:val="true"/>
      <w:spacing w:lineRule="atLeast" w:line="288" w:before="0" w:after="300"/>
      <w:jc w:val="center"/>
      <w:textAlignment w:val="baseline"/>
      <w:outlineLvl w:val="1"/>
    </w:pPr>
    <w:rPr>
      <w:bCs/>
      <w:iCs/>
      <w:sz w:val="27"/>
      <w:szCs w:val="27"/>
    </w:rPr>
  </w:style>
  <w:style w:type="paragraph" w:styleId="3">
    <w:name w:val="Heading 3"/>
    <w:basedOn w:val="Normal"/>
    <w:next w:val="Normal"/>
    <w:link w:val="31"/>
    <w:qFormat/>
    <w:rsid w:val="00716026"/>
    <w:pPr>
      <w:keepNext w:val="true"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Normal"/>
    <w:next w:val="Normal"/>
    <w:link w:val="40"/>
    <w:qFormat/>
    <w:rsid w:val="00391129"/>
    <w:pPr>
      <w:keepNext w:val="true"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8">
    <w:name w:val="Heading 8"/>
    <w:basedOn w:val="Normal"/>
    <w:next w:val="Normal"/>
    <w:link w:val="80"/>
    <w:qFormat/>
    <w:rsid w:val="00911ccd"/>
    <w:pPr>
      <w:spacing w:before="240" w:after="60"/>
      <w:outlineLvl w:val="7"/>
    </w:pPr>
    <w:rPr>
      <w:rFonts w:ascii="Calibri" w:hAnsi="Calibri"/>
      <w:i/>
      <w:iCs/>
      <w:lang w:val="x-none" w:eastAsia="x-none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41" w:customStyle="1">
    <w:name w:val="Заголовок 4 Знак"/>
    <w:link w:val="4"/>
    <w:semiHidden/>
    <w:qFormat/>
    <w:rsid w:val="00391129"/>
    <w:rPr>
      <w:rFonts w:ascii="Calibri" w:hAnsi="Calibri" w:eastAsia="Times New Roman" w:cs="Times New Roman"/>
      <w:b/>
      <w:bCs/>
      <w:sz w:val="28"/>
      <w:szCs w:val="28"/>
    </w:rPr>
  </w:style>
  <w:style w:type="character" w:styleId="81" w:customStyle="1">
    <w:name w:val="Заголовок 8 Знак"/>
    <w:link w:val="8"/>
    <w:semiHidden/>
    <w:qFormat/>
    <w:rsid w:val="00911ccd"/>
    <w:rPr>
      <w:rFonts w:ascii="Calibri" w:hAnsi="Calibri" w:eastAsia="Times New Roman" w:cs="Times New Roman"/>
      <w:i/>
      <w:iCs/>
      <w:sz w:val="24"/>
      <w:szCs w:val="24"/>
    </w:rPr>
  </w:style>
  <w:style w:type="character" w:styleId="Style9" w:customStyle="1">
    <w:name w:val="Верхний колонтитул Знак"/>
    <w:link w:val="a4"/>
    <w:uiPriority w:val="99"/>
    <w:qFormat/>
    <w:rsid w:val="002e6b39"/>
    <w:rPr>
      <w:sz w:val="24"/>
      <w:szCs w:val="24"/>
    </w:rPr>
  </w:style>
  <w:style w:type="character" w:styleId="Style10" w:customStyle="1">
    <w:name w:val="Нижний колонтитул Знак"/>
    <w:link w:val="a6"/>
    <w:uiPriority w:val="99"/>
    <w:qFormat/>
    <w:rsid w:val="00466d30"/>
    <w:rPr>
      <w:sz w:val="24"/>
      <w:szCs w:val="24"/>
    </w:rPr>
  </w:style>
  <w:style w:type="character" w:styleId="31" w:customStyle="1">
    <w:name w:val="Основной текст с отступом Знак3"/>
    <w:link w:val="aa"/>
    <w:qFormat/>
    <w:rsid w:val="00f4218c"/>
    <w:rPr>
      <w:sz w:val="24"/>
      <w:szCs w:val="24"/>
    </w:rPr>
  </w:style>
  <w:style w:type="character" w:styleId="7" w:customStyle="1">
    <w:name w:val="Основной текст (7)_"/>
    <w:link w:val="71"/>
    <w:qFormat/>
    <w:rsid w:val="0074401f"/>
    <w:rPr>
      <w:b/>
      <w:bCs/>
      <w:smallCaps/>
      <w:sz w:val="26"/>
      <w:szCs w:val="26"/>
      <w:lang w:bidi="ar-SA"/>
    </w:rPr>
  </w:style>
  <w:style w:type="character" w:styleId="74" w:customStyle="1">
    <w:name w:val="Основной текст (7) + Не малые прописные4"/>
    <w:basedOn w:val="7"/>
    <w:qFormat/>
    <w:rsid w:val="0074401f"/>
    <w:rPr>
      <w:b/>
      <w:bCs/>
      <w:smallCaps/>
      <w:sz w:val="26"/>
      <w:szCs w:val="26"/>
      <w:lang w:bidi="ar-SA"/>
    </w:rPr>
  </w:style>
  <w:style w:type="character" w:styleId="78" w:customStyle="1">
    <w:name w:val="Основной текст (7)8"/>
    <w:basedOn w:val="7"/>
    <w:qFormat/>
    <w:rsid w:val="0074401f"/>
    <w:rPr>
      <w:b/>
      <w:bCs/>
      <w:smallCaps/>
      <w:sz w:val="26"/>
      <w:szCs w:val="26"/>
      <w:lang w:bidi="ar-SA"/>
    </w:rPr>
  </w:style>
  <w:style w:type="character" w:styleId="Style11">
    <w:name w:val="Интернет-ссылка"/>
    <w:uiPriority w:val="99"/>
    <w:rsid w:val="00da3d07"/>
    <w:rPr>
      <w:color w:val="0066CC"/>
      <w:u w:val="single"/>
    </w:rPr>
  </w:style>
  <w:style w:type="character" w:styleId="9" w:customStyle="1">
    <w:name w:val="Заголовок №9_"/>
    <w:link w:val="91"/>
    <w:qFormat/>
    <w:rsid w:val="00da3d07"/>
    <w:rPr>
      <w:b/>
      <w:bCs/>
      <w:smallCaps/>
      <w:sz w:val="26"/>
      <w:szCs w:val="26"/>
      <w:lang w:bidi="ar-SA"/>
    </w:rPr>
  </w:style>
  <w:style w:type="character" w:styleId="94" w:customStyle="1">
    <w:name w:val="Заголовок №9 + Не малые прописные4"/>
    <w:basedOn w:val="9"/>
    <w:qFormat/>
    <w:rsid w:val="00da3d07"/>
    <w:rPr>
      <w:b/>
      <w:bCs/>
      <w:smallCaps/>
      <w:sz w:val="26"/>
      <w:szCs w:val="26"/>
      <w:lang w:bidi="ar-SA"/>
    </w:rPr>
  </w:style>
  <w:style w:type="character" w:styleId="96" w:customStyle="1">
    <w:name w:val="Заголовок №96"/>
    <w:basedOn w:val="9"/>
    <w:qFormat/>
    <w:rsid w:val="00da3d07"/>
    <w:rPr>
      <w:b/>
      <w:bCs/>
      <w:smallCaps/>
      <w:sz w:val="26"/>
      <w:szCs w:val="26"/>
      <w:lang w:bidi="ar-SA"/>
    </w:rPr>
  </w:style>
  <w:style w:type="character" w:styleId="73" w:customStyle="1">
    <w:name w:val="Основной текст (7) + Не малые прописные3"/>
    <w:qFormat/>
    <w:rsid w:val="002f2109"/>
    <w:rPr>
      <w:rFonts w:ascii="Times New Roman" w:hAnsi="Times New Roman" w:cs="Times New Roman"/>
      <w:b w:val="false"/>
      <w:bCs w:val="false"/>
      <w:smallCaps/>
      <w:spacing w:val="0"/>
      <w:sz w:val="26"/>
      <w:szCs w:val="26"/>
      <w:lang w:bidi="ar-SA"/>
    </w:rPr>
  </w:style>
  <w:style w:type="character" w:styleId="77" w:customStyle="1">
    <w:name w:val="Основной текст (7)7"/>
    <w:qFormat/>
    <w:rsid w:val="002f2109"/>
    <w:rPr>
      <w:rFonts w:ascii="Times New Roman" w:hAnsi="Times New Roman" w:cs="Times New Roman"/>
      <w:b w:val="false"/>
      <w:bCs w:val="false"/>
      <w:caps w:val="false"/>
      <w:smallCaps w:val="false"/>
      <w:spacing w:val="0"/>
      <w:sz w:val="26"/>
      <w:szCs w:val="26"/>
      <w:lang w:bidi="ar-SA"/>
    </w:rPr>
  </w:style>
  <w:style w:type="character" w:styleId="10" w:customStyle="1">
    <w:name w:val="Заголовок №10_"/>
    <w:link w:val="101"/>
    <w:qFormat/>
    <w:rsid w:val="005640cf"/>
    <w:rPr>
      <w:b/>
      <w:bCs/>
      <w:lang w:bidi="ar-SA"/>
    </w:rPr>
  </w:style>
  <w:style w:type="character" w:styleId="6" w:customStyle="1">
    <w:name w:val="Основной текст (6)_"/>
    <w:link w:val="60"/>
    <w:qFormat/>
    <w:rsid w:val="005640cf"/>
    <w:rPr>
      <w:b/>
      <w:bCs/>
      <w:sz w:val="23"/>
      <w:szCs w:val="23"/>
      <w:lang w:bidi="ar-SA"/>
    </w:rPr>
  </w:style>
  <w:style w:type="character" w:styleId="1010" w:customStyle="1">
    <w:name w:val="Заголовок №1010"/>
    <w:basedOn w:val="10"/>
    <w:qFormat/>
    <w:rsid w:val="005640cf"/>
    <w:rPr>
      <w:b/>
      <w:bCs/>
      <w:lang w:bidi="ar-SA"/>
    </w:rPr>
  </w:style>
  <w:style w:type="character" w:styleId="Style12" w:customStyle="1">
    <w:name w:val="Основной текст + Полужирный"/>
    <w:qFormat/>
    <w:rsid w:val="005640cf"/>
    <w:rPr>
      <w:rFonts w:ascii="Times New Roman" w:hAnsi="Times New Roman" w:cs="Times New Roman"/>
      <w:b/>
      <w:bCs/>
      <w:spacing w:val="0"/>
      <w:sz w:val="23"/>
      <w:szCs w:val="23"/>
    </w:rPr>
  </w:style>
  <w:style w:type="character" w:styleId="82" w:customStyle="1">
    <w:name w:val="Основной текст (8)_"/>
    <w:link w:val="810"/>
    <w:qFormat/>
    <w:rsid w:val="005640cf"/>
    <w:rPr>
      <w:i/>
      <w:iCs/>
      <w:lang w:bidi="ar-SA"/>
    </w:rPr>
  </w:style>
  <w:style w:type="character" w:styleId="83" w:customStyle="1">
    <w:name w:val="Основной текст (8) + Полужирный"/>
    <w:qFormat/>
    <w:rsid w:val="005640cf"/>
    <w:rPr>
      <w:b/>
      <w:bCs/>
      <w:i/>
      <w:iCs/>
      <w:lang w:bidi="ar-SA"/>
    </w:rPr>
  </w:style>
  <w:style w:type="character" w:styleId="63" w:customStyle="1">
    <w:name w:val="Основной текст (6) + Не полужирный3"/>
    <w:basedOn w:val="6"/>
    <w:qFormat/>
    <w:rsid w:val="005640cf"/>
    <w:rPr>
      <w:b/>
      <w:bCs/>
      <w:sz w:val="23"/>
      <w:szCs w:val="23"/>
      <w:lang w:bidi="ar-SA"/>
    </w:rPr>
  </w:style>
  <w:style w:type="character" w:styleId="92" w:customStyle="1">
    <w:name w:val="Заголовок №9 (2)_"/>
    <w:link w:val="921"/>
    <w:qFormat/>
    <w:rsid w:val="00d25ff1"/>
    <w:rPr>
      <w:b/>
      <w:bCs/>
      <w:sz w:val="26"/>
      <w:szCs w:val="26"/>
      <w:lang w:bidi="ar-SA"/>
    </w:rPr>
  </w:style>
  <w:style w:type="character" w:styleId="Style13" w:customStyle="1">
    <w:name w:val="Подпись к таблице_"/>
    <w:link w:val="11"/>
    <w:qFormat/>
    <w:rsid w:val="00d25ff1"/>
    <w:rPr>
      <w:i/>
      <w:iCs/>
      <w:lang w:bidi="ar-SA"/>
    </w:rPr>
  </w:style>
  <w:style w:type="character" w:styleId="101" w:customStyle="1">
    <w:name w:val="Основной текст (10)_"/>
    <w:link w:val="1011"/>
    <w:qFormat/>
    <w:rsid w:val="00d25ff1"/>
    <w:rPr>
      <w:b/>
      <w:bCs/>
      <w:sz w:val="19"/>
      <w:szCs w:val="19"/>
      <w:lang w:bidi="ar-SA"/>
    </w:rPr>
  </w:style>
  <w:style w:type="character" w:styleId="91" w:customStyle="1">
    <w:name w:val="Основной текст (9)_"/>
    <w:link w:val="910"/>
    <w:qFormat/>
    <w:rsid w:val="00d25ff1"/>
    <w:rPr>
      <w:sz w:val="19"/>
      <w:szCs w:val="19"/>
      <w:lang w:bidi="ar-SA"/>
    </w:rPr>
  </w:style>
  <w:style w:type="character" w:styleId="925" w:customStyle="1">
    <w:name w:val="Заголовок №9 (2)5"/>
    <w:basedOn w:val="92"/>
    <w:qFormat/>
    <w:rsid w:val="00d25ff1"/>
    <w:rPr>
      <w:b/>
      <w:bCs/>
      <w:sz w:val="26"/>
      <w:szCs w:val="26"/>
      <w:lang w:bidi="ar-SA"/>
    </w:rPr>
  </w:style>
  <w:style w:type="character" w:styleId="108" w:customStyle="1">
    <w:name w:val="Заголовок №108"/>
    <w:qFormat/>
    <w:rsid w:val="00d25ff1"/>
    <w:rPr>
      <w:rFonts w:ascii="Times New Roman" w:hAnsi="Times New Roman" w:cs="Times New Roman"/>
      <w:b w:val="false"/>
      <w:bCs w:val="false"/>
      <w:spacing w:val="0"/>
      <w:lang w:bidi="ar-SA"/>
    </w:rPr>
  </w:style>
  <w:style w:type="character" w:styleId="32" w:customStyle="1">
    <w:name w:val="Подпись к таблице + Полужирный3"/>
    <w:qFormat/>
    <w:rsid w:val="00d25ff1"/>
    <w:rPr>
      <w:b/>
      <w:bCs/>
      <w:i/>
      <w:iCs/>
      <w:lang w:bidi="ar-SA"/>
    </w:rPr>
  </w:style>
  <w:style w:type="character" w:styleId="42" w:customStyle="1">
    <w:name w:val="Подпись к таблице4"/>
    <w:basedOn w:val="Style13"/>
    <w:qFormat/>
    <w:rsid w:val="00d25ff1"/>
    <w:rPr>
      <w:i/>
      <w:iCs/>
      <w:lang w:bidi="ar-SA"/>
    </w:rPr>
  </w:style>
  <w:style w:type="character" w:styleId="1012" w:customStyle="1">
    <w:name w:val="Основной текст (10)12"/>
    <w:basedOn w:val="101"/>
    <w:qFormat/>
    <w:rsid w:val="00d25ff1"/>
    <w:rPr>
      <w:b/>
      <w:bCs/>
      <w:sz w:val="19"/>
      <w:szCs w:val="19"/>
      <w:lang w:bidi="ar-SA"/>
    </w:rPr>
  </w:style>
  <w:style w:type="character" w:styleId="21" w:customStyle="1">
    <w:name w:val="Подпись к таблице (2)_"/>
    <w:link w:val="21"/>
    <w:qFormat/>
    <w:rsid w:val="00d25ff1"/>
    <w:rPr>
      <w:i/>
      <w:iCs/>
      <w:sz w:val="19"/>
      <w:szCs w:val="19"/>
      <w:lang w:bidi="ar-SA"/>
    </w:rPr>
  </w:style>
  <w:style w:type="character" w:styleId="210pt" w:customStyle="1">
    <w:name w:val="Подпись к таблице (2) + 10 pt"/>
    <w:qFormat/>
    <w:rsid w:val="00d25ff1"/>
    <w:rPr>
      <w:b/>
      <w:bCs/>
      <w:i/>
      <w:iCs/>
      <w:sz w:val="20"/>
      <w:szCs w:val="20"/>
      <w:lang w:bidi="ar-SA"/>
    </w:rPr>
  </w:style>
  <w:style w:type="character" w:styleId="Pagenumber">
    <w:name w:val="page number"/>
    <w:basedOn w:val="DefaultParagraphFont"/>
    <w:qFormat/>
    <w:rsid w:val="00a10d45"/>
    <w:rPr/>
  </w:style>
  <w:style w:type="character" w:styleId="Strong">
    <w:name w:val="Strong"/>
    <w:uiPriority w:val="99"/>
    <w:qFormat/>
    <w:rsid w:val="002b49a9"/>
    <w:rPr>
      <w:b/>
      <w:bCs/>
    </w:rPr>
  </w:style>
  <w:style w:type="character" w:styleId="Style14">
    <w:name w:val="Выделение"/>
    <w:uiPriority w:val="20"/>
    <w:qFormat/>
    <w:rsid w:val="002b49a9"/>
    <w:rPr>
      <w:i/>
      <w:iCs/>
    </w:rPr>
  </w:style>
  <w:style w:type="character" w:styleId="Appleconvertedspace" w:customStyle="1">
    <w:name w:val="apple-converted-space"/>
    <w:basedOn w:val="DefaultParagraphFont"/>
    <w:qFormat/>
    <w:rsid w:val="002b49a9"/>
    <w:rPr/>
  </w:style>
  <w:style w:type="character" w:styleId="Style15" w:customStyle="1">
    <w:name w:val="Текст выноски Знак"/>
    <w:link w:val="af4"/>
    <w:qFormat/>
    <w:rsid w:val="009832ef"/>
    <w:rPr>
      <w:rFonts w:ascii="Tahoma" w:hAnsi="Tahoma" w:cs="Tahoma"/>
      <w:sz w:val="16"/>
      <w:szCs w:val="16"/>
    </w:rPr>
  </w:style>
  <w:style w:type="character" w:styleId="11" w:customStyle="1">
    <w:name w:val="Заголовок №1_"/>
    <w:link w:val="14"/>
    <w:qFormat/>
    <w:rsid w:val="00a8315a"/>
    <w:rPr>
      <w:sz w:val="23"/>
      <w:szCs w:val="23"/>
      <w:shd w:fill="FFFFFF" w:val="clear"/>
    </w:rPr>
  </w:style>
  <w:style w:type="character" w:styleId="33" w:customStyle="1">
    <w:name w:val="Основной текст (3)_"/>
    <w:link w:val="37"/>
    <w:qFormat/>
    <w:rsid w:val="00a8315a"/>
    <w:rPr>
      <w:rFonts w:ascii="Arial Narrow" w:hAnsi="Arial Narrow"/>
      <w:sz w:val="19"/>
      <w:szCs w:val="19"/>
      <w:shd w:fill="FFFFFF" w:val="clear"/>
    </w:rPr>
  </w:style>
  <w:style w:type="character" w:styleId="43" w:customStyle="1">
    <w:name w:val="Основной текст (4)_"/>
    <w:link w:val="43"/>
    <w:qFormat/>
    <w:rsid w:val="00a8315a"/>
    <w:rPr>
      <w:rFonts w:ascii="Arial Narrow" w:hAnsi="Arial Narrow"/>
      <w:shd w:fill="FFFFFF" w:val="clear"/>
    </w:rPr>
  </w:style>
  <w:style w:type="character" w:styleId="22" w:customStyle="1">
    <w:name w:val="Заголовок №2_"/>
    <w:link w:val="24"/>
    <w:qFormat/>
    <w:rsid w:val="00a8315a"/>
    <w:rPr>
      <w:sz w:val="22"/>
      <w:szCs w:val="22"/>
      <w:shd w:fill="FFFFFF" w:val="clear"/>
    </w:rPr>
  </w:style>
  <w:style w:type="character" w:styleId="2ArialNarrow" w:customStyle="1">
    <w:name w:val="Заголовок №2 + Arial Narrow"/>
    <w:qFormat/>
    <w:rsid w:val="00a8315a"/>
    <w:rPr>
      <w:rFonts w:ascii="Arial Narrow" w:hAnsi="Arial Narrow" w:cs="Arial Narrow"/>
      <w:sz w:val="20"/>
      <w:szCs w:val="20"/>
      <w:shd w:fill="FFFFFF" w:val="clear"/>
    </w:rPr>
  </w:style>
  <w:style w:type="character" w:styleId="210pt1" w:customStyle="1">
    <w:name w:val="Заголовок №2 + 10 pt"/>
    <w:qFormat/>
    <w:rsid w:val="00a8315a"/>
    <w:rPr>
      <w:sz w:val="20"/>
      <w:szCs w:val="20"/>
      <w:shd w:fill="FFFFFF" w:val="clear"/>
    </w:rPr>
  </w:style>
  <w:style w:type="character" w:styleId="210pt11" w:customStyle="1">
    <w:name w:val="Заголовок №2 + 10 pt1"/>
    <w:qFormat/>
    <w:rsid w:val="00a8315a"/>
    <w:rPr>
      <w:sz w:val="20"/>
      <w:szCs w:val="20"/>
      <w:shd w:fill="FFFFFF" w:val="clear"/>
    </w:rPr>
  </w:style>
  <w:style w:type="character" w:styleId="914pt" w:customStyle="1">
    <w:name w:val="Основной текст (9) + 14 pt"/>
    <w:qFormat/>
    <w:rsid w:val="00a8315a"/>
    <w:rPr>
      <w:rFonts w:ascii="Times New Roman" w:hAnsi="Times New Roman" w:cs="Times New Roman"/>
      <w:spacing w:val="0"/>
      <w:sz w:val="28"/>
      <w:szCs w:val="28"/>
      <w:lang w:bidi="ar-SA"/>
    </w:rPr>
  </w:style>
  <w:style w:type="character" w:styleId="93" w:customStyle="1">
    <w:name w:val="Основной текст (9) + Полужирный"/>
    <w:qFormat/>
    <w:rsid w:val="00a8315a"/>
    <w:rPr>
      <w:rFonts w:ascii="Times New Roman" w:hAnsi="Times New Roman" w:cs="Times New Roman"/>
      <w:b/>
      <w:bCs/>
      <w:i/>
      <w:iCs/>
      <w:spacing w:val="0"/>
      <w:sz w:val="22"/>
      <w:szCs w:val="22"/>
      <w:lang w:bidi="ar-SA"/>
    </w:rPr>
  </w:style>
  <w:style w:type="character" w:styleId="911" w:customStyle="1">
    <w:name w:val="Основной текст (9) + Полужирный1"/>
    <w:qFormat/>
    <w:rsid w:val="00a8315a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styleId="221" w:customStyle="1">
    <w:name w:val="Заголовок №2 (2)_"/>
    <w:link w:val="221"/>
    <w:qFormat/>
    <w:rsid w:val="00a8315a"/>
    <w:rPr>
      <w:rFonts w:ascii="Arial Narrow" w:hAnsi="Arial Narrow"/>
      <w:shd w:fill="FFFFFF" w:val="clear"/>
    </w:rPr>
  </w:style>
  <w:style w:type="character" w:styleId="22TimesNewRoman" w:customStyle="1">
    <w:name w:val="Заголовок №2 (2) + Times New Roman"/>
    <w:qFormat/>
    <w:rsid w:val="00a8315a"/>
    <w:rPr>
      <w:rFonts w:ascii="Times New Roman" w:hAnsi="Times New Roman" w:cs="Times New Roman"/>
      <w:i/>
      <w:iCs/>
      <w:sz w:val="22"/>
      <w:szCs w:val="22"/>
      <w:shd w:fill="FFFFFF" w:val="clear"/>
    </w:rPr>
  </w:style>
  <w:style w:type="character" w:styleId="Style16" w:customStyle="1">
    <w:name w:val="Название Знак"/>
    <w:link w:val="af6"/>
    <w:uiPriority w:val="10"/>
    <w:qFormat/>
    <w:rsid w:val="00dc77d9"/>
    <w:rPr>
      <w:b/>
      <w:bCs/>
      <w:sz w:val="28"/>
      <w:szCs w:val="28"/>
    </w:rPr>
  </w:style>
  <w:style w:type="character" w:styleId="Style17" w:customStyle="1">
    <w:name w:val="Название объекта Знак"/>
    <w:link w:val="af9"/>
    <w:qFormat/>
    <w:rsid w:val="007f0245"/>
    <w:rPr>
      <w:b/>
      <w:bCs/>
    </w:rPr>
  </w:style>
  <w:style w:type="character" w:styleId="12" w:customStyle="1">
    <w:name w:val="Текст сноски Знак1"/>
    <w:link w:val="afb"/>
    <w:qFormat/>
    <w:rsid w:val="007f0245"/>
    <w:rPr/>
  </w:style>
  <w:style w:type="character" w:styleId="Style18" w:customStyle="1">
    <w:name w:val="Текст сноски Знак"/>
    <w:basedOn w:val="DefaultParagraphFont"/>
    <w:qFormat/>
    <w:rsid w:val="007f0245"/>
    <w:rPr/>
  </w:style>
  <w:style w:type="character" w:styleId="Style19">
    <w:name w:val="Привязка сноски"/>
    <w:rPr>
      <w:vertAlign w:val="superscript"/>
    </w:rPr>
  </w:style>
  <w:style w:type="character" w:styleId="FootnoteCharacters">
    <w:name w:val="Footnote Characters"/>
    <w:qFormat/>
    <w:rsid w:val="007f0245"/>
    <w:rPr>
      <w:vertAlign w:val="superscript"/>
    </w:rPr>
  </w:style>
  <w:style w:type="character" w:styleId="Applestylespan" w:customStyle="1">
    <w:name w:val="apple-style-span"/>
    <w:basedOn w:val="DefaultParagraphFont"/>
    <w:qFormat/>
    <w:rsid w:val="007f0245"/>
    <w:rPr/>
  </w:style>
  <w:style w:type="character" w:styleId="312pt" w:customStyle="1">
    <w:name w:val="Основной текст (3) + 12 pt"/>
    <w:qFormat/>
    <w:rsid w:val="00b56d43"/>
    <w:rPr>
      <w:b/>
      <w:bCs/>
      <w:sz w:val="24"/>
      <w:szCs w:val="24"/>
      <w:lang w:bidi="ar-SA"/>
    </w:rPr>
  </w:style>
  <w:style w:type="character" w:styleId="121" w:customStyle="1">
    <w:name w:val="Заголовок №1 (2)_"/>
    <w:link w:val="121"/>
    <w:qFormat/>
    <w:rsid w:val="00b56d43"/>
    <w:rPr>
      <w:sz w:val="28"/>
      <w:szCs w:val="28"/>
      <w:shd w:fill="FFFFFF" w:val="clear"/>
    </w:rPr>
  </w:style>
  <w:style w:type="character" w:styleId="122" w:customStyle="1">
    <w:name w:val="Заголовок №1 (2)"/>
    <w:qFormat/>
    <w:rsid w:val="00b56d43"/>
    <w:rPr/>
  </w:style>
  <w:style w:type="character" w:styleId="95" w:customStyle="1">
    <w:name w:val="Подпись к таблице + 9"/>
    <w:qFormat/>
    <w:rsid w:val="00b56d43"/>
    <w:rPr>
      <w:b/>
      <w:bCs/>
      <w:sz w:val="19"/>
      <w:szCs w:val="19"/>
      <w:lang w:bidi="ar-SA"/>
    </w:rPr>
  </w:style>
  <w:style w:type="character" w:styleId="5" w:customStyle="1">
    <w:name w:val="Основной текст (5)_"/>
    <w:link w:val="50"/>
    <w:qFormat/>
    <w:rsid w:val="00b56d43"/>
    <w:rPr>
      <w:sz w:val="19"/>
      <w:szCs w:val="19"/>
      <w:shd w:fill="FFFFFF" w:val="clear"/>
    </w:rPr>
  </w:style>
  <w:style w:type="character" w:styleId="23" w:customStyle="1">
    <w:name w:val="Основной текст (2)_"/>
    <w:link w:val="211"/>
    <w:qFormat/>
    <w:rsid w:val="00b56d43"/>
    <w:rPr>
      <w:shd w:fill="FFFFFF" w:val="clear"/>
    </w:rPr>
  </w:style>
  <w:style w:type="character" w:styleId="321" w:customStyle="1">
    <w:name w:val="Основной текст (3)2"/>
    <w:qFormat/>
    <w:rsid w:val="00b56d43"/>
    <w:rPr>
      <w:rFonts w:ascii="Times New Roman" w:hAnsi="Times New Roman" w:cs="Times New Roman"/>
      <w:b w:val="false"/>
      <w:bCs w:val="false"/>
      <w:spacing w:val="0"/>
      <w:sz w:val="19"/>
      <w:szCs w:val="19"/>
      <w:lang w:bidi="ar-SA"/>
    </w:rPr>
  </w:style>
  <w:style w:type="character" w:styleId="34" w:customStyle="1">
    <w:name w:val="Подпись к таблице (3)_"/>
    <w:link w:val="311"/>
    <w:qFormat/>
    <w:rsid w:val="00b56d43"/>
    <w:rPr>
      <w:sz w:val="19"/>
      <w:szCs w:val="19"/>
      <w:shd w:fill="FFFFFF" w:val="clear"/>
    </w:rPr>
  </w:style>
  <w:style w:type="character" w:styleId="35" w:customStyle="1">
    <w:name w:val="Подпись к таблице (3)"/>
    <w:qFormat/>
    <w:rsid w:val="00b56d43"/>
    <w:rPr/>
  </w:style>
  <w:style w:type="character" w:styleId="24" w:customStyle="1">
    <w:name w:val="Основной текст (2)"/>
    <w:qFormat/>
    <w:rsid w:val="00b56d43"/>
    <w:rPr/>
  </w:style>
  <w:style w:type="character" w:styleId="13" w:customStyle="1">
    <w:name w:val="Название Знак1"/>
    <w:uiPriority w:val="99"/>
    <w:qFormat/>
    <w:locked/>
    <w:rsid w:val="00f85682"/>
    <w:rPr>
      <w:rFonts w:cs="Times New Roman"/>
      <w:b/>
      <w:bCs/>
      <w:sz w:val="28"/>
      <w:szCs w:val="28"/>
    </w:rPr>
  </w:style>
  <w:style w:type="character" w:styleId="36" w:customStyle="1">
    <w:name w:val="Основной текст 3 Знак"/>
    <w:link w:val="3a"/>
    <w:qFormat/>
    <w:rsid w:val="00391129"/>
    <w:rPr>
      <w:sz w:val="16"/>
      <w:szCs w:val="16"/>
      <w:lang w:val="x-none" w:eastAsia="x-none"/>
    </w:rPr>
  </w:style>
  <w:style w:type="character" w:styleId="FollowedHyperlink">
    <w:name w:val="FollowedHyperlink"/>
    <w:uiPriority w:val="99"/>
    <w:unhideWhenUsed/>
    <w:qFormat/>
    <w:rsid w:val="00e57cde"/>
    <w:rPr>
      <w:color w:val="800080"/>
      <w:u w:val="single"/>
    </w:rPr>
  </w:style>
  <w:style w:type="character" w:styleId="Style20" w:customStyle="1">
    <w:name w:val="Основной текст Знак"/>
    <w:link w:val="a8"/>
    <w:qFormat/>
    <w:rsid w:val="00b9001d"/>
    <w:rPr/>
  </w:style>
  <w:style w:type="character" w:styleId="Style21" w:customStyle="1">
    <w:name w:val="Основной текст_"/>
    <w:link w:val="51"/>
    <w:qFormat/>
    <w:rsid w:val="00d1470f"/>
    <w:rPr>
      <w:rFonts w:ascii="Arial Unicode MS" w:hAnsi="Arial Unicode MS" w:eastAsia="Arial Unicode MS" w:cs="Arial Unicode MS"/>
      <w:shd w:fill="FFFFFF" w:val="clear"/>
    </w:rPr>
  </w:style>
  <w:style w:type="character" w:styleId="25" w:customStyle="1">
    <w:name w:val="Основной текст2"/>
    <w:qFormat/>
    <w:rsid w:val="00d1470f"/>
    <w:rPr>
      <w:rFonts w:ascii="Arial Unicode MS" w:hAnsi="Arial Unicode MS" w:eastAsia="Arial Unicode MS" w:cs="Arial Unicode MS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  <w:lang w:val="ru-RU" w:eastAsia="ru-RU" w:bidi="ru-RU"/>
    </w:rPr>
  </w:style>
  <w:style w:type="character" w:styleId="14" w:customStyle="1">
    <w:name w:val="Неразрешенное упоминание1"/>
    <w:uiPriority w:val="99"/>
    <w:semiHidden/>
    <w:unhideWhenUsed/>
    <w:qFormat/>
    <w:rsid w:val="00af6be0"/>
    <w:rPr>
      <w:color w:val="808080"/>
      <w:shd w:fill="E6E6E6" w:val="clear"/>
    </w:rPr>
  </w:style>
  <w:style w:type="character" w:styleId="26" w:customStyle="1">
    <w:name w:val="Основной текст с отступом 2 Знак"/>
    <w:link w:val="2a"/>
    <w:qFormat/>
    <w:rsid w:val="00af6be0"/>
    <w:rPr>
      <w:sz w:val="24"/>
      <w:szCs w:val="24"/>
    </w:rPr>
  </w:style>
  <w:style w:type="character" w:styleId="37" w:customStyle="1">
    <w:name w:val="Заголовок 3 Знак"/>
    <w:basedOn w:val="DefaultParagraphFont"/>
    <w:link w:val="30"/>
    <w:qFormat/>
    <w:rsid w:val="00326c27"/>
    <w:rPr>
      <w:rFonts w:ascii="Arial" w:hAnsi="Arial" w:cs="Arial"/>
      <w:b/>
      <w:bCs/>
      <w:sz w:val="26"/>
      <w:szCs w:val="26"/>
    </w:rPr>
  </w:style>
  <w:style w:type="character" w:styleId="Style22" w:customStyle="1">
    <w:name w:val="Текст примечания Знак"/>
    <w:basedOn w:val="DefaultParagraphFont"/>
    <w:link w:val="aff4"/>
    <w:uiPriority w:val="99"/>
    <w:qFormat/>
    <w:rsid w:val="00326c27"/>
    <w:rPr/>
  </w:style>
  <w:style w:type="character" w:styleId="Style23" w:customStyle="1">
    <w:name w:val="Другое_"/>
    <w:basedOn w:val="DefaultParagraphFont"/>
    <w:link w:val="aff7"/>
    <w:qFormat/>
    <w:locked/>
    <w:rsid w:val="00da0c0f"/>
    <w:rPr>
      <w:sz w:val="19"/>
      <w:szCs w:val="19"/>
      <w:shd w:fill="FFFFFF" w:val="clear"/>
    </w:rPr>
  </w:style>
  <w:style w:type="character" w:styleId="Style24" w:customStyle="1">
    <w:name w:val="Подпись к картинке_"/>
    <w:basedOn w:val="DefaultParagraphFont"/>
    <w:link w:val="aff9"/>
    <w:qFormat/>
    <w:locked/>
    <w:rsid w:val="00da0c0f"/>
    <w:rPr>
      <w:sz w:val="13"/>
      <w:szCs w:val="13"/>
      <w:shd w:fill="FFFFFF" w:val="clear"/>
    </w:rPr>
  </w:style>
  <w:style w:type="character" w:styleId="27" w:customStyle="1">
    <w:name w:val="Неразрешенное упоминание2"/>
    <w:basedOn w:val="DefaultParagraphFont"/>
    <w:uiPriority w:val="99"/>
    <w:semiHidden/>
    <w:unhideWhenUsed/>
    <w:qFormat/>
    <w:rsid w:val="00053e11"/>
    <w:rPr>
      <w:color w:val="605E5C"/>
      <w:shd w:fill="E1DFDD" w:val="clear"/>
    </w:rPr>
  </w:style>
  <w:style w:type="character" w:styleId="ListLabel1">
    <w:name w:val="ListLabel 1"/>
    <w:qFormat/>
    <w:rPr>
      <w:b w:val="false"/>
    </w:rPr>
  </w:style>
  <w:style w:type="character" w:styleId="ListLabel2">
    <w:name w:val="ListLabel 2"/>
    <w:qFormat/>
    <w:rPr>
      <w:b w:val="false"/>
    </w:rPr>
  </w:style>
  <w:style w:type="character" w:styleId="ListLabel3">
    <w:name w:val="ListLabel 3"/>
    <w:qFormat/>
    <w:rPr>
      <w:b w:val="false"/>
    </w:rPr>
  </w:style>
  <w:style w:type="character" w:styleId="ListLabel4">
    <w:name w:val="ListLabel 4"/>
    <w:qFormat/>
    <w:rPr>
      <w:b w:val="false"/>
    </w:rPr>
  </w:style>
  <w:style w:type="character" w:styleId="ListLabel5">
    <w:name w:val="ListLabel 5"/>
    <w:qFormat/>
    <w:rPr>
      <w:b w:val="false"/>
    </w:rPr>
  </w:style>
  <w:style w:type="character" w:styleId="ListLabel6">
    <w:name w:val="ListLabel 6"/>
    <w:qFormat/>
    <w:rPr>
      <w:b w:val="false"/>
    </w:rPr>
  </w:style>
  <w:style w:type="character" w:styleId="ListLabel7">
    <w:name w:val="ListLabel 7"/>
    <w:qFormat/>
    <w:rPr>
      <w:b w:val="false"/>
    </w:rPr>
  </w:style>
  <w:style w:type="character" w:styleId="ListLabel8">
    <w:name w:val="ListLabel 8"/>
    <w:qFormat/>
    <w:rPr>
      <w:b w:val="false"/>
    </w:rPr>
  </w:style>
  <w:style w:type="character" w:styleId="ListLabel9">
    <w:name w:val="ListLabel 9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0">
    <w:name w:val="ListLabel 10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1">
    <w:name w:val="ListLabel 11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2">
    <w:name w:val="ListLabel 12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3">
    <w:name w:val="ListLabel 13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4">
    <w:name w:val="ListLabel 14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5">
    <w:name w:val="ListLabel 15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6">
    <w:name w:val="ListLabel 16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7">
    <w:name w:val="ListLabel 17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8">
    <w:name w:val="ListLabel 18"/>
    <w:qFormat/>
    <w:rPr>
      <w:rFonts w:cs="Times New Roman"/>
      <w:b/>
      <w:bCs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6"/>
      <w:szCs w:val="26"/>
      <w:u w:val="none"/>
    </w:rPr>
  </w:style>
  <w:style w:type="character" w:styleId="ListLabel19">
    <w:name w:val="ListLabel 19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0">
    <w:name w:val="ListLabel 20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1">
    <w:name w:val="ListLabel 21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2">
    <w:name w:val="ListLabel 22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3">
    <w:name w:val="ListLabel 23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4">
    <w:name w:val="ListLabel 24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5">
    <w:name w:val="ListLabel 25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6">
    <w:name w:val="ListLabel 26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7">
    <w:name w:val="ListLabel 27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28">
    <w:name w:val="ListLabel 28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29">
    <w:name w:val="ListLabel 29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0">
    <w:name w:val="ListLabel 30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1">
    <w:name w:val="ListLabel 31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2">
    <w:name w:val="ListLabel 32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3">
    <w:name w:val="ListLabel 33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4">
    <w:name w:val="ListLabel 34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5">
    <w:name w:val="ListLabel 35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6">
    <w:name w:val="ListLabel 36"/>
    <w:qFormat/>
    <w:rPr>
      <w:rFonts w:cs="Courier New"/>
    </w:rPr>
  </w:style>
  <w:style w:type="character" w:styleId="ListLabel37">
    <w:name w:val="ListLabel 37"/>
    <w:qFormat/>
    <w:rPr>
      <w:rFonts w:cs="Courier New"/>
    </w:rPr>
  </w:style>
  <w:style w:type="character" w:styleId="ListLabel38">
    <w:name w:val="ListLabel 38"/>
    <w:qFormat/>
    <w:rPr>
      <w:rFonts w:cs="Courier New"/>
    </w:rPr>
  </w:style>
  <w:style w:type="character" w:styleId="ListLabel39">
    <w:name w:val="ListLabel 39"/>
    <w:qFormat/>
    <w:rPr>
      <w:rFonts w:cs="Courier New"/>
    </w:rPr>
  </w:style>
  <w:style w:type="character" w:styleId="ListLabel40">
    <w:name w:val="ListLabel 40"/>
    <w:qFormat/>
    <w:rPr>
      <w:rFonts w:cs="Courier New"/>
    </w:rPr>
  </w:style>
  <w:style w:type="character" w:styleId="ListLabel41">
    <w:name w:val="ListLabel 41"/>
    <w:qFormat/>
    <w:rPr>
      <w:rFonts w:cs="Courier New"/>
    </w:rPr>
  </w:style>
  <w:style w:type="character" w:styleId="ListLabel42">
    <w:name w:val="ListLabel 42"/>
    <w:qFormat/>
    <w:rPr>
      <w:rFonts w:cs="Courier New"/>
    </w:rPr>
  </w:style>
  <w:style w:type="character" w:styleId="ListLabel43">
    <w:name w:val="ListLabel 43"/>
    <w:qFormat/>
    <w:rPr>
      <w:rFonts w:cs="Courier New"/>
    </w:rPr>
  </w:style>
  <w:style w:type="character" w:styleId="ListLabel44">
    <w:name w:val="ListLabel 44"/>
    <w:qFormat/>
    <w:rPr>
      <w:rFonts w:cs="Courier New"/>
    </w:rPr>
  </w:style>
  <w:style w:type="character" w:styleId="ListLabel45">
    <w:name w:val="ListLabel 45"/>
    <w:qFormat/>
    <w:rPr>
      <w:u w:val="none"/>
    </w:rPr>
  </w:style>
  <w:style w:type="character" w:styleId="ListLabel46">
    <w:name w:val="ListLabel 46"/>
    <w:qFormat/>
    <w:rPr>
      <w:sz w:val="28"/>
      <w:szCs w:val="28"/>
      <w:u w:val="none"/>
    </w:rPr>
  </w:style>
  <w:style w:type="character" w:styleId="ListLabel47">
    <w:name w:val="ListLabel 47"/>
    <w:qFormat/>
    <w:rPr>
      <w:b/>
      <w:sz w:val="32"/>
      <w:szCs w:val="32"/>
    </w:rPr>
  </w:style>
  <w:style w:type="character" w:styleId="ListLabel48">
    <w:name w:val="ListLabel 48"/>
    <w:qFormat/>
    <w:rPr>
      <w:sz w:val="28"/>
      <w:szCs w:val="28"/>
    </w:rPr>
  </w:style>
  <w:style w:type="character" w:styleId="ListLabel49">
    <w:name w:val="ListLabel 49"/>
    <w:qFormat/>
    <w:rPr>
      <w:b w:val="false"/>
      <w:sz w:val="22"/>
      <w:szCs w:val="22"/>
    </w:rPr>
  </w:style>
  <w:style w:type="character" w:styleId="ListLabel50">
    <w:name w:val="ListLabel 50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1">
    <w:name w:val="ListLabel 51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2">
    <w:name w:val="ListLabel 52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3">
    <w:name w:val="ListLabel 53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4">
    <w:name w:val="ListLabel 54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5">
    <w:name w:val="ListLabel 55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6">
    <w:name w:val="ListLabel 56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7">
    <w:name w:val="ListLabel 57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8">
    <w:name w:val="ListLabel 58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9">
    <w:name w:val="ListLabel 59"/>
    <w:qFormat/>
    <w:rPr>
      <w:color w:val="auto"/>
    </w:rPr>
  </w:style>
  <w:style w:type="character" w:styleId="ListLabel60">
    <w:name w:val="ListLabel 60"/>
    <w:qFormat/>
    <w:rPr>
      <w:rFonts w:cs="Courier New"/>
    </w:rPr>
  </w:style>
  <w:style w:type="character" w:styleId="ListLabel61">
    <w:name w:val="ListLabel 61"/>
    <w:qFormat/>
    <w:rPr>
      <w:rFonts w:cs="Courier New"/>
    </w:rPr>
  </w:style>
  <w:style w:type="character" w:styleId="ListLabel62">
    <w:name w:val="ListLabel 62"/>
    <w:qFormat/>
    <w:rPr>
      <w:sz w:val="22"/>
    </w:rPr>
  </w:style>
  <w:style w:type="character" w:styleId="ListLabel63">
    <w:name w:val="ListLabel 63"/>
    <w:qFormat/>
    <w:rPr>
      <w:rFonts w:cs="Times New Roman"/>
    </w:rPr>
  </w:style>
  <w:style w:type="character" w:styleId="ListLabel64">
    <w:name w:val="ListLabel 64"/>
    <w:qFormat/>
    <w:rPr>
      <w:rFonts w:cs="Times New Roman"/>
    </w:rPr>
  </w:style>
  <w:style w:type="character" w:styleId="ListLabel65">
    <w:name w:val="ListLabel 65"/>
    <w:qFormat/>
    <w:rPr>
      <w:rFonts w:cs="Times New Roman"/>
    </w:rPr>
  </w:style>
  <w:style w:type="character" w:styleId="ListLabel66">
    <w:name w:val="ListLabel 66"/>
    <w:qFormat/>
    <w:rPr>
      <w:rFonts w:cs="Times New Roman"/>
    </w:rPr>
  </w:style>
  <w:style w:type="character" w:styleId="ListLabel67">
    <w:name w:val="ListLabel 67"/>
    <w:qFormat/>
    <w:rPr>
      <w:rFonts w:cs="Times New Roman"/>
    </w:rPr>
  </w:style>
  <w:style w:type="character" w:styleId="ListLabel68">
    <w:name w:val="ListLabel 68"/>
    <w:qFormat/>
    <w:rPr>
      <w:rFonts w:cs="Times New Roman"/>
    </w:rPr>
  </w:style>
  <w:style w:type="character" w:styleId="ListLabel69">
    <w:name w:val="ListLabel 69"/>
    <w:qFormat/>
    <w:rPr>
      <w:rFonts w:cs="Times New Roman"/>
    </w:rPr>
  </w:style>
  <w:style w:type="character" w:styleId="ListLabel70">
    <w:name w:val="ListLabel 70"/>
    <w:qFormat/>
    <w:rPr>
      <w:rFonts w:cs="Times New Roman"/>
    </w:rPr>
  </w:style>
  <w:style w:type="character" w:styleId="ListLabel71">
    <w:name w:val="ListLabel 71"/>
    <w:qFormat/>
    <w:rPr>
      <w:rFonts w:cs="Times New Roman"/>
    </w:rPr>
  </w:style>
  <w:style w:type="character" w:styleId="ListLabel72">
    <w:name w:val="ListLabel 72"/>
    <w:qFormat/>
    <w:rPr>
      <w:rFonts w:cs="Times New Roman"/>
    </w:rPr>
  </w:style>
  <w:style w:type="character" w:styleId="ListLabel73">
    <w:name w:val="ListLabel 73"/>
    <w:qFormat/>
    <w:rPr>
      <w:rFonts w:cs="Times New Roman"/>
    </w:rPr>
  </w:style>
  <w:style w:type="character" w:styleId="ListLabel74">
    <w:name w:val="ListLabel 74"/>
    <w:qFormat/>
    <w:rPr>
      <w:rFonts w:cs="Times New Roman"/>
    </w:rPr>
  </w:style>
  <w:style w:type="character" w:styleId="ListLabel75">
    <w:name w:val="ListLabel 75"/>
    <w:qFormat/>
    <w:rPr>
      <w:rFonts w:cs="Times New Roman"/>
    </w:rPr>
  </w:style>
  <w:style w:type="character" w:styleId="ListLabel76">
    <w:name w:val="ListLabel 76"/>
    <w:qFormat/>
    <w:rPr>
      <w:rFonts w:cs="Times New Roman"/>
    </w:rPr>
  </w:style>
  <w:style w:type="character" w:styleId="ListLabel77">
    <w:name w:val="ListLabel 77"/>
    <w:qFormat/>
    <w:rPr>
      <w:rFonts w:cs="Times New Roman"/>
    </w:rPr>
  </w:style>
  <w:style w:type="character" w:styleId="ListLabel78">
    <w:name w:val="ListLabel 78"/>
    <w:qFormat/>
    <w:rPr>
      <w:rFonts w:cs="Times New Roman"/>
    </w:rPr>
  </w:style>
  <w:style w:type="character" w:styleId="ListLabel79">
    <w:name w:val="ListLabel 79"/>
    <w:qFormat/>
    <w:rPr>
      <w:rFonts w:cs="Times New Roman"/>
    </w:rPr>
  </w:style>
  <w:style w:type="character" w:styleId="ListLabel80">
    <w:name w:val="ListLabel 80"/>
    <w:qFormat/>
    <w:rPr>
      <w:rFonts w:cs="Times New Roman"/>
    </w:rPr>
  </w:style>
  <w:style w:type="character" w:styleId="ListLabel81">
    <w:name w:val="ListLabel 81"/>
    <w:qFormat/>
    <w:rPr>
      <w:rFonts w:cs="Times New Roman"/>
      <w:color w:val="auto"/>
      <w:sz w:val="24"/>
      <w:szCs w:val="24"/>
    </w:rPr>
  </w:style>
  <w:style w:type="character" w:styleId="ListLabel82">
    <w:name w:val="ListLabel 82"/>
    <w:qFormat/>
    <w:rPr>
      <w:sz w:val="20"/>
    </w:rPr>
  </w:style>
  <w:style w:type="character" w:styleId="ListLabel83">
    <w:name w:val="ListLabel 83"/>
    <w:qFormat/>
    <w:rPr>
      <w:sz w:val="20"/>
    </w:rPr>
  </w:style>
  <w:style w:type="character" w:styleId="ListLabel84">
    <w:name w:val="ListLabel 84"/>
    <w:qFormat/>
    <w:rPr>
      <w:sz w:val="20"/>
    </w:rPr>
  </w:style>
  <w:style w:type="character" w:styleId="ListLabel85">
    <w:name w:val="ListLabel 85"/>
    <w:qFormat/>
    <w:rPr>
      <w:sz w:val="20"/>
    </w:rPr>
  </w:style>
  <w:style w:type="character" w:styleId="ListLabel86">
    <w:name w:val="ListLabel 86"/>
    <w:qFormat/>
    <w:rPr>
      <w:sz w:val="20"/>
    </w:rPr>
  </w:style>
  <w:style w:type="character" w:styleId="ListLabel87">
    <w:name w:val="ListLabel 87"/>
    <w:qFormat/>
    <w:rPr>
      <w:sz w:val="20"/>
    </w:rPr>
  </w:style>
  <w:style w:type="character" w:styleId="ListLabel88">
    <w:name w:val="ListLabel 88"/>
    <w:qFormat/>
    <w:rPr>
      <w:sz w:val="20"/>
    </w:rPr>
  </w:style>
  <w:style w:type="character" w:styleId="ListLabel89">
    <w:name w:val="ListLabel 89"/>
    <w:qFormat/>
    <w:rPr>
      <w:sz w:val="20"/>
    </w:rPr>
  </w:style>
  <w:style w:type="character" w:styleId="ListLabel90">
    <w:name w:val="ListLabel 90"/>
    <w:qFormat/>
    <w:rPr>
      <w:rFonts w:cs="Times New Roman"/>
    </w:rPr>
  </w:style>
  <w:style w:type="character" w:styleId="ListLabel91">
    <w:name w:val="ListLabel 91"/>
    <w:qFormat/>
    <w:rPr>
      <w:rFonts w:cs="Times New Roman"/>
    </w:rPr>
  </w:style>
  <w:style w:type="character" w:styleId="ListLabel92">
    <w:name w:val="ListLabel 92"/>
    <w:qFormat/>
    <w:rPr>
      <w:rFonts w:cs="Times New Roman"/>
    </w:rPr>
  </w:style>
  <w:style w:type="character" w:styleId="ListLabel93">
    <w:name w:val="ListLabel 93"/>
    <w:qFormat/>
    <w:rPr>
      <w:rFonts w:cs="Times New Roman"/>
    </w:rPr>
  </w:style>
  <w:style w:type="character" w:styleId="ListLabel94">
    <w:name w:val="ListLabel 94"/>
    <w:qFormat/>
    <w:rPr>
      <w:rFonts w:cs="Times New Roman"/>
    </w:rPr>
  </w:style>
  <w:style w:type="character" w:styleId="ListLabel95">
    <w:name w:val="ListLabel 95"/>
    <w:qFormat/>
    <w:rPr>
      <w:rFonts w:cs="Times New Roman"/>
    </w:rPr>
  </w:style>
  <w:style w:type="character" w:styleId="ListLabel96">
    <w:name w:val="ListLabel 96"/>
    <w:qFormat/>
    <w:rPr>
      <w:rFonts w:cs="Times New Roman"/>
    </w:rPr>
  </w:style>
  <w:style w:type="character" w:styleId="ListLabel97">
    <w:name w:val="ListLabel 97"/>
    <w:qFormat/>
    <w:rPr>
      <w:rFonts w:cs="Times New Roman"/>
    </w:rPr>
  </w:style>
  <w:style w:type="character" w:styleId="ListLabel98">
    <w:name w:val="ListLabel 98"/>
    <w:qFormat/>
    <w:rPr>
      <w:rFonts w:cs="Times New Roman"/>
    </w:rPr>
  </w:style>
  <w:style w:type="character" w:styleId="ListLabel99">
    <w:name w:val="ListLabel 99"/>
    <w:qFormat/>
    <w:rPr>
      <w:rFonts w:cs="Times New Roman"/>
      <w:b/>
      <w:i/>
      <w:caps w:val="false"/>
      <w:smallCaps w:val="false"/>
      <w:strike w:val="false"/>
      <w:dstrike w:val="false"/>
      <w:vanish w:val="false"/>
      <w:color w:val="auto"/>
      <w:position w:val="0"/>
      <w:sz w:val="24"/>
      <w:sz w:val="24"/>
      <w:u w:val="none"/>
      <w:vertAlign w:val="baseline"/>
    </w:rPr>
  </w:style>
  <w:style w:type="character" w:styleId="ListLabel100">
    <w:name w:val="ListLabel 100"/>
    <w:qFormat/>
    <w:rPr>
      <w:rFonts w:cs="Times New Roman"/>
    </w:rPr>
  </w:style>
  <w:style w:type="character" w:styleId="ListLabel101">
    <w:name w:val="ListLabel 101"/>
    <w:qFormat/>
    <w:rPr>
      <w:rFonts w:cs="Times New Roman"/>
    </w:rPr>
  </w:style>
  <w:style w:type="character" w:styleId="ListLabel102">
    <w:name w:val="ListLabel 102"/>
    <w:qFormat/>
    <w:rPr>
      <w:rFonts w:cs="Times New Roman"/>
    </w:rPr>
  </w:style>
  <w:style w:type="character" w:styleId="ListLabel103">
    <w:name w:val="ListLabel 103"/>
    <w:qFormat/>
    <w:rPr>
      <w:rFonts w:cs="Times New Roman"/>
    </w:rPr>
  </w:style>
  <w:style w:type="character" w:styleId="ListLabel104">
    <w:name w:val="ListLabel 104"/>
    <w:qFormat/>
    <w:rPr>
      <w:rFonts w:cs="Times New Roman"/>
    </w:rPr>
  </w:style>
  <w:style w:type="character" w:styleId="ListLabel105">
    <w:name w:val="ListLabel 105"/>
    <w:qFormat/>
    <w:rPr>
      <w:rFonts w:cs="Times New Roman"/>
    </w:rPr>
  </w:style>
  <w:style w:type="character" w:styleId="ListLabel106">
    <w:name w:val="ListLabel 106"/>
    <w:qFormat/>
    <w:rPr>
      <w:rFonts w:cs="Times New Roman"/>
    </w:rPr>
  </w:style>
  <w:style w:type="character" w:styleId="ListLabel107">
    <w:name w:val="ListLabel 107"/>
    <w:qFormat/>
    <w:rPr>
      <w:rFonts w:cs="Times New Roman"/>
    </w:rPr>
  </w:style>
  <w:style w:type="character" w:styleId="ListLabel108">
    <w:name w:val="ListLabel 108"/>
    <w:qFormat/>
    <w:rPr>
      <w:rFonts w:cs="Symbol"/>
    </w:rPr>
  </w:style>
  <w:style w:type="character" w:styleId="ListLabel109">
    <w:name w:val="ListLabel 109"/>
    <w:qFormat/>
    <w:rPr>
      <w:rFonts w:ascii="Times New Roman" w:hAnsi="Times New Roman" w:cs="Times New Roman"/>
      <w:sz w:val="24"/>
    </w:rPr>
  </w:style>
  <w:style w:type="character" w:styleId="ListLabel110">
    <w:name w:val="ListLabel 110"/>
    <w:qFormat/>
    <w:rPr>
      <w:rFonts w:cs="Times New Roman"/>
    </w:rPr>
  </w:style>
  <w:style w:type="character" w:styleId="ListLabel111">
    <w:name w:val="ListLabel 111"/>
    <w:qFormat/>
    <w:rPr>
      <w:rFonts w:cs="Times New Roman"/>
    </w:rPr>
  </w:style>
  <w:style w:type="character" w:styleId="ListLabel112">
    <w:name w:val="ListLabel 112"/>
    <w:qFormat/>
    <w:rPr>
      <w:rFonts w:cs="Times New Roman"/>
    </w:rPr>
  </w:style>
  <w:style w:type="character" w:styleId="ListLabel113">
    <w:name w:val="ListLabel 113"/>
    <w:qFormat/>
    <w:rPr>
      <w:rFonts w:cs="Times New Roman"/>
    </w:rPr>
  </w:style>
  <w:style w:type="character" w:styleId="ListLabel114">
    <w:name w:val="ListLabel 114"/>
    <w:qFormat/>
    <w:rPr>
      <w:rFonts w:cs="Times New Roman"/>
    </w:rPr>
  </w:style>
  <w:style w:type="character" w:styleId="ListLabel115">
    <w:name w:val="ListLabel 115"/>
    <w:qFormat/>
    <w:rPr>
      <w:rFonts w:cs="Times New Roman"/>
    </w:rPr>
  </w:style>
  <w:style w:type="character" w:styleId="ListLabel116">
    <w:name w:val="ListLabel 116"/>
    <w:qFormat/>
    <w:rPr>
      <w:rFonts w:cs="Times New Roman"/>
    </w:rPr>
  </w:style>
  <w:style w:type="character" w:styleId="ListLabel117">
    <w:name w:val="ListLabel 117"/>
    <w:qFormat/>
    <w:rPr>
      <w:rFonts w:cs="Times New Roman"/>
    </w:rPr>
  </w:style>
  <w:style w:type="character" w:styleId="ListLabel118">
    <w:name w:val="ListLabel 118"/>
    <w:qFormat/>
    <w:rPr>
      <w:rFonts w:cs="Times New Roman"/>
    </w:rPr>
  </w:style>
  <w:style w:type="character" w:styleId="ListLabel119">
    <w:name w:val="ListLabel 119"/>
    <w:qFormat/>
    <w:rPr>
      <w:rFonts w:cs="Times New Roman"/>
    </w:rPr>
  </w:style>
  <w:style w:type="character" w:styleId="ListLabel120">
    <w:name w:val="ListLabel 120"/>
    <w:qFormat/>
    <w:rPr>
      <w:rFonts w:cs="Times New Roman"/>
    </w:rPr>
  </w:style>
  <w:style w:type="character" w:styleId="ListLabel121">
    <w:name w:val="ListLabel 121"/>
    <w:qFormat/>
    <w:rPr>
      <w:rFonts w:cs="Times New Roman"/>
    </w:rPr>
  </w:style>
  <w:style w:type="character" w:styleId="ListLabel122">
    <w:name w:val="ListLabel 122"/>
    <w:qFormat/>
    <w:rPr>
      <w:rFonts w:cs="Times New Roman"/>
    </w:rPr>
  </w:style>
  <w:style w:type="character" w:styleId="ListLabel123">
    <w:name w:val="ListLabel 123"/>
    <w:qFormat/>
    <w:rPr>
      <w:rFonts w:cs="Times New Roman"/>
    </w:rPr>
  </w:style>
  <w:style w:type="character" w:styleId="ListLabel124">
    <w:name w:val="ListLabel 124"/>
    <w:qFormat/>
    <w:rPr>
      <w:rFonts w:cs="Times New Roman"/>
    </w:rPr>
  </w:style>
  <w:style w:type="character" w:styleId="ListLabel125">
    <w:name w:val="ListLabel 125"/>
    <w:qFormat/>
    <w:rPr>
      <w:rFonts w:cs="Times New Roman"/>
    </w:rPr>
  </w:style>
  <w:style w:type="character" w:styleId="ListLabel126">
    <w:name w:val="ListLabel 126"/>
    <w:qFormat/>
    <w:rPr>
      <w:rFonts w:cs="Times New Roman"/>
    </w:rPr>
  </w:style>
  <w:style w:type="character" w:styleId="ListLabel127">
    <w:name w:val="ListLabel 127"/>
    <w:qFormat/>
    <w:rPr>
      <w:rFonts w:cs="Times New Roman"/>
    </w:rPr>
  </w:style>
  <w:style w:type="character" w:styleId="ListLabel128">
    <w:name w:val="ListLabel 128"/>
    <w:qFormat/>
    <w:rPr>
      <w:rFonts w:cs="Times New Roman"/>
    </w:rPr>
  </w:style>
  <w:style w:type="character" w:styleId="ListLabel129">
    <w:name w:val="ListLabel 129"/>
    <w:qFormat/>
    <w:rPr>
      <w:rFonts w:cs="Times New Roman"/>
    </w:rPr>
  </w:style>
  <w:style w:type="character" w:styleId="ListLabel130">
    <w:name w:val="ListLabel 130"/>
    <w:qFormat/>
    <w:rPr>
      <w:rFonts w:eastAsia="Calibri" w:cs="Calibri"/>
      <w:b/>
      <w:bCs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6"/>
      <w:szCs w:val="26"/>
      <w:u w:val="none"/>
      <w:effect w:val="none"/>
      <w:lang w:val="ru-RU" w:eastAsia="ru-RU" w:bidi="ru-RU"/>
    </w:rPr>
  </w:style>
  <w:style w:type="character" w:styleId="ListLabel131">
    <w:name w:val="ListLabel 131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19"/>
      <w:szCs w:val="19"/>
      <w:u w:val="none"/>
      <w:effect w:val="none"/>
      <w:lang w:val="ru-RU" w:eastAsia="ru-RU" w:bidi="ru-RU"/>
    </w:rPr>
  </w:style>
  <w:style w:type="character" w:styleId="ListLabel132">
    <w:name w:val="ListLabel 132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19"/>
      <w:u w:val="none"/>
      <w:effect w:val="none"/>
      <w:lang w:val="ru-RU" w:eastAsia="ru-RU" w:bidi="ru-RU"/>
    </w:rPr>
  </w:style>
  <w:style w:type="character" w:styleId="ListLabel133">
    <w:name w:val="ListLabel 133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19"/>
      <w:szCs w:val="19"/>
      <w:u w:val="none"/>
      <w:lang w:val="ru-RU" w:eastAsia="ru-RU" w:bidi="ru-RU"/>
    </w:rPr>
  </w:style>
  <w:style w:type="character" w:styleId="ListLabel134">
    <w:name w:val="ListLabel 134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19"/>
      <w:u w:val="none"/>
      <w:lang w:val="ru-RU" w:eastAsia="ru-RU" w:bidi="ru-RU"/>
    </w:rPr>
  </w:style>
  <w:style w:type="character" w:styleId="ListLabel135">
    <w:name w:val="ListLabel 135"/>
    <w:qFormat/>
    <w:rPr>
      <w:b/>
      <w:bCs/>
      <w:lang w:val="en-US"/>
    </w:rPr>
  </w:style>
  <w:style w:type="character" w:styleId="ListLabel136">
    <w:name w:val="ListLabel 136"/>
    <w:qFormat/>
    <w:rPr>
      <w:b/>
      <w:bCs/>
    </w:rPr>
  </w:style>
  <w:style w:type="character" w:styleId="ListLabel137">
    <w:name w:val="ListLabel 137"/>
    <w:qFormat/>
    <w:rPr>
      <w:color w:val="0000FF"/>
      <w:sz w:val="16"/>
      <w:szCs w:val="16"/>
      <w:u w:val="single"/>
    </w:rPr>
  </w:style>
  <w:style w:type="character" w:styleId="ListLabel138">
    <w:name w:val="ListLabel 138"/>
    <w:qFormat/>
    <w:rPr>
      <w:color w:val="0000FF"/>
      <w:sz w:val="16"/>
      <w:szCs w:val="16"/>
    </w:rPr>
  </w:style>
  <w:style w:type="character" w:styleId="ListLabel139">
    <w:name w:val="ListLabel 139"/>
    <w:qFormat/>
    <w:rPr>
      <w:rFonts w:cs="Calibri"/>
      <w:sz w:val="22"/>
      <w:szCs w:val="22"/>
    </w:rPr>
  </w:style>
  <w:style w:type="character" w:styleId="ListLabel140">
    <w:name w:val="ListLabel 140"/>
    <w:qFormat/>
    <w:rPr>
      <w:sz w:val="20"/>
      <w:szCs w:val="20"/>
    </w:rPr>
  </w:style>
  <w:style w:type="paragraph" w:styleId="Style25">
    <w:name w:val="Заголовок"/>
    <w:basedOn w:val="Normal"/>
    <w:next w:val="Style26"/>
    <w:qFormat/>
    <w:pPr>
      <w:keepNext w:val="true"/>
      <w:spacing w:before="240" w:after="120"/>
    </w:pPr>
    <w:rPr>
      <w:rFonts w:ascii="Liberation Sans" w:hAnsi="Liberation Sans" w:eastAsia="Droid Sans Fallback" w:cs="FreeSans"/>
      <w:sz w:val="28"/>
      <w:szCs w:val="28"/>
    </w:rPr>
  </w:style>
  <w:style w:type="paragraph" w:styleId="Style26">
    <w:name w:val="Body Text"/>
    <w:basedOn w:val="Normal"/>
    <w:link w:val="a9"/>
    <w:rsid w:val="00aa2dfa"/>
    <w:pPr>
      <w:overflowPunct w:val="true"/>
      <w:spacing w:before="0" w:after="120"/>
      <w:textAlignment w:val="baseline"/>
    </w:pPr>
    <w:rPr>
      <w:sz w:val="20"/>
      <w:szCs w:val="20"/>
    </w:rPr>
  </w:style>
  <w:style w:type="paragraph" w:styleId="Style27">
    <w:name w:val="List"/>
    <w:basedOn w:val="Style26"/>
    <w:pPr/>
    <w:rPr>
      <w:rFonts w:cs="FreeSans"/>
    </w:rPr>
  </w:style>
  <w:style w:type="paragraph" w:styleId="Style28" w:customStyle="1">
    <w:name w:val="Caption"/>
    <w:basedOn w:val="Normal"/>
    <w:link w:val="af7"/>
    <w:uiPriority w:val="10"/>
    <w:qFormat/>
    <w:rsid w:val="00dc77d9"/>
    <w:pPr>
      <w:jc w:val="center"/>
    </w:pPr>
    <w:rPr>
      <w:b/>
      <w:bCs/>
      <w:sz w:val="28"/>
      <w:szCs w:val="28"/>
      <w:lang w:val="x-none" w:eastAsia="x-none"/>
    </w:rPr>
  </w:style>
  <w:style w:type="paragraph" w:styleId="Style29">
    <w:name w:val="Указатель"/>
    <w:basedOn w:val="Normal"/>
    <w:qFormat/>
    <w:pPr>
      <w:suppressLineNumbers/>
    </w:pPr>
    <w:rPr>
      <w:rFonts w:cs="FreeSans"/>
    </w:rPr>
  </w:style>
  <w:style w:type="paragraph" w:styleId="Style30">
    <w:name w:val="Header"/>
    <w:basedOn w:val="Normal"/>
    <w:link w:val="a5"/>
    <w:uiPriority w:val="99"/>
    <w:rsid w:val="008e420a"/>
    <w:pPr>
      <w:tabs>
        <w:tab w:val="clear" w:pos="708"/>
        <w:tab w:val="center" w:pos="4677" w:leader="none"/>
        <w:tab w:val="right" w:pos="9355" w:leader="none"/>
      </w:tabs>
    </w:pPr>
    <w:rPr>
      <w:lang w:val="x-none" w:eastAsia="x-none"/>
    </w:rPr>
  </w:style>
  <w:style w:type="paragraph" w:styleId="Style31">
    <w:name w:val="Footer"/>
    <w:basedOn w:val="Normal"/>
    <w:link w:val="a7"/>
    <w:uiPriority w:val="99"/>
    <w:rsid w:val="008e420a"/>
    <w:pPr>
      <w:tabs>
        <w:tab w:val="clear" w:pos="708"/>
        <w:tab w:val="center" w:pos="4677" w:leader="none"/>
        <w:tab w:val="right" w:pos="9355" w:leader="none"/>
      </w:tabs>
    </w:pPr>
    <w:rPr>
      <w:lang w:val="x-none" w:eastAsia="x-none"/>
    </w:rPr>
  </w:style>
  <w:style w:type="paragraph" w:styleId="Style32">
    <w:name w:val="Body Text Indent"/>
    <w:basedOn w:val="Normal"/>
    <w:link w:val="32"/>
    <w:rsid w:val="00aa2dfa"/>
    <w:pPr/>
    <w:rPr>
      <w:lang w:val="x-none" w:eastAsia="x-none"/>
    </w:rPr>
  </w:style>
  <w:style w:type="paragraph" w:styleId="BodyTextIndent3">
    <w:name w:val="Body Text Indent 3"/>
    <w:basedOn w:val="Normal"/>
    <w:qFormat/>
    <w:rsid w:val="00aa2dfa"/>
    <w:pPr>
      <w:overflowPunct w:val="true"/>
      <w:ind w:firstLine="426"/>
      <w:jc w:val="both"/>
      <w:textAlignment w:val="baseline"/>
    </w:pPr>
    <w:rPr/>
  </w:style>
  <w:style w:type="paragraph" w:styleId="71" w:customStyle="1">
    <w:name w:val="Основной текст (7)1"/>
    <w:basedOn w:val="Normal"/>
    <w:link w:val="7"/>
    <w:qFormat/>
    <w:rsid w:val="0074401f"/>
    <w:pPr>
      <w:shd w:val="clear" w:color="auto" w:fill="FFFFFF"/>
      <w:spacing w:lineRule="atLeast" w:line="240" w:before="0" w:after="300"/>
      <w:ind w:hanging="340"/>
      <w:jc w:val="both"/>
    </w:pPr>
    <w:rPr>
      <w:b/>
      <w:bCs/>
      <w:smallCaps/>
      <w:sz w:val="26"/>
      <w:szCs w:val="26"/>
      <w:lang w:val="x-none" w:eastAsia="x-none"/>
    </w:rPr>
  </w:style>
  <w:style w:type="paragraph" w:styleId="912" w:customStyle="1">
    <w:name w:val="Заголовок №91"/>
    <w:basedOn w:val="Normal"/>
    <w:link w:val="9"/>
    <w:qFormat/>
    <w:rsid w:val="00da3d07"/>
    <w:pPr>
      <w:shd w:val="clear" w:color="auto" w:fill="FFFFFF"/>
      <w:spacing w:lineRule="atLeast" w:line="240" w:before="360" w:after="0"/>
      <w:ind w:hanging="360"/>
      <w:outlineLvl w:val="8"/>
    </w:pPr>
    <w:rPr>
      <w:b/>
      <w:bCs/>
      <w:smallCaps/>
      <w:sz w:val="26"/>
      <w:szCs w:val="26"/>
      <w:lang w:val="x-none" w:eastAsia="x-none"/>
    </w:rPr>
  </w:style>
  <w:style w:type="paragraph" w:styleId="1011" w:customStyle="1">
    <w:name w:val="Заголовок №101"/>
    <w:basedOn w:val="Normal"/>
    <w:link w:val="10"/>
    <w:qFormat/>
    <w:rsid w:val="005640cf"/>
    <w:pPr>
      <w:shd w:val="clear" w:color="auto" w:fill="FFFFFF"/>
      <w:spacing w:lineRule="exact" w:line="586"/>
    </w:pPr>
    <w:rPr>
      <w:b/>
      <w:bCs/>
      <w:sz w:val="20"/>
      <w:szCs w:val="20"/>
      <w:lang w:val="x-none" w:eastAsia="x-none"/>
    </w:rPr>
  </w:style>
  <w:style w:type="paragraph" w:styleId="61" w:customStyle="1">
    <w:name w:val="Основной текст (6)"/>
    <w:basedOn w:val="Normal"/>
    <w:link w:val="6"/>
    <w:qFormat/>
    <w:rsid w:val="005640cf"/>
    <w:pPr>
      <w:shd w:val="clear" w:color="auto" w:fill="FFFFFF"/>
      <w:spacing w:lineRule="exact" w:line="355" w:before="60" w:after="0"/>
      <w:ind w:hanging="1380"/>
      <w:jc w:val="center"/>
    </w:pPr>
    <w:rPr>
      <w:b/>
      <w:bCs/>
      <w:sz w:val="23"/>
      <w:szCs w:val="23"/>
      <w:lang w:val="x-none" w:eastAsia="x-none"/>
    </w:rPr>
  </w:style>
  <w:style w:type="paragraph" w:styleId="811" w:customStyle="1">
    <w:name w:val="Основной текст (8)1"/>
    <w:basedOn w:val="Normal"/>
    <w:link w:val="81"/>
    <w:qFormat/>
    <w:rsid w:val="005640cf"/>
    <w:pPr>
      <w:shd w:val="clear" w:color="auto" w:fill="FFFFFF"/>
      <w:spacing w:lineRule="atLeast" w:line="240" w:before="120" w:after="120"/>
      <w:ind w:hanging="560"/>
      <w:jc w:val="both"/>
    </w:pPr>
    <w:rPr>
      <w:i/>
      <w:iCs/>
      <w:sz w:val="20"/>
      <w:szCs w:val="20"/>
      <w:lang w:val="x-none" w:eastAsia="x-none"/>
    </w:rPr>
  </w:style>
  <w:style w:type="paragraph" w:styleId="921" w:customStyle="1">
    <w:name w:val="Заголовок №9 (2)1"/>
    <w:basedOn w:val="Normal"/>
    <w:link w:val="92"/>
    <w:qFormat/>
    <w:rsid w:val="00d25ff1"/>
    <w:pPr>
      <w:shd w:val="clear" w:color="auto" w:fill="FFFFFF"/>
      <w:spacing w:lineRule="atLeast" w:line="240" w:before="0" w:after="360"/>
      <w:outlineLvl w:val="8"/>
    </w:pPr>
    <w:rPr>
      <w:b/>
      <w:bCs/>
      <w:sz w:val="26"/>
      <w:szCs w:val="26"/>
      <w:lang w:val="x-none" w:eastAsia="x-none"/>
    </w:rPr>
  </w:style>
  <w:style w:type="paragraph" w:styleId="15" w:customStyle="1">
    <w:name w:val="Подпись к таблице1"/>
    <w:basedOn w:val="Normal"/>
    <w:link w:val="ae"/>
    <w:qFormat/>
    <w:rsid w:val="00d25ff1"/>
    <w:pPr>
      <w:shd w:val="clear" w:color="auto" w:fill="FFFFFF"/>
      <w:spacing w:lineRule="atLeast" w:line="240"/>
    </w:pPr>
    <w:rPr>
      <w:i/>
      <w:iCs/>
      <w:sz w:val="20"/>
      <w:szCs w:val="20"/>
      <w:lang w:val="x-none" w:eastAsia="x-none"/>
    </w:rPr>
  </w:style>
  <w:style w:type="paragraph" w:styleId="1013" w:customStyle="1">
    <w:name w:val="Основной текст (10)1"/>
    <w:basedOn w:val="Normal"/>
    <w:link w:val="100"/>
    <w:qFormat/>
    <w:rsid w:val="00d25ff1"/>
    <w:pPr>
      <w:shd w:val="clear" w:color="auto" w:fill="FFFFFF"/>
      <w:spacing w:lineRule="atLeast" w:line="240"/>
      <w:ind w:hanging="560"/>
    </w:pPr>
    <w:rPr>
      <w:b/>
      <w:bCs/>
      <w:sz w:val="19"/>
      <w:szCs w:val="19"/>
      <w:lang w:val="x-none" w:eastAsia="x-none"/>
    </w:rPr>
  </w:style>
  <w:style w:type="paragraph" w:styleId="913" w:customStyle="1">
    <w:name w:val="Основной текст (9)1"/>
    <w:basedOn w:val="Normal"/>
    <w:link w:val="90"/>
    <w:qFormat/>
    <w:rsid w:val="00d25ff1"/>
    <w:pPr>
      <w:shd w:val="clear" w:color="auto" w:fill="FFFFFF"/>
      <w:spacing w:lineRule="atLeast" w:line="240"/>
    </w:pPr>
    <w:rPr>
      <w:sz w:val="19"/>
      <w:szCs w:val="19"/>
      <w:lang w:val="x-none" w:eastAsia="x-none"/>
    </w:rPr>
  </w:style>
  <w:style w:type="paragraph" w:styleId="28" w:customStyle="1">
    <w:name w:val="Подпись к таблице (2)"/>
    <w:basedOn w:val="Normal"/>
    <w:link w:val="20"/>
    <w:qFormat/>
    <w:rsid w:val="00d25ff1"/>
    <w:pPr>
      <w:shd w:val="clear" w:color="auto" w:fill="FFFFFF"/>
      <w:spacing w:lineRule="atLeast" w:line="240"/>
    </w:pPr>
    <w:rPr>
      <w:i/>
      <w:iCs/>
      <w:sz w:val="19"/>
      <w:szCs w:val="19"/>
      <w:lang w:val="x-none" w:eastAsia="x-none"/>
    </w:rPr>
  </w:style>
  <w:style w:type="paragraph" w:styleId="Style33" w:customStyle="1">
    <w:name w:val="Список с точками"/>
    <w:basedOn w:val="Normal"/>
    <w:next w:val="Normal"/>
    <w:qFormat/>
    <w:rsid w:val="003d0980"/>
    <w:pPr>
      <w:tabs>
        <w:tab w:val="clear" w:pos="708"/>
        <w:tab w:val="left" w:pos="720" w:leader="none"/>
      </w:tabs>
      <w:spacing w:lineRule="exact" w:line="260" w:before="60" w:after="60"/>
      <w:ind w:left="720" w:hanging="720"/>
      <w:jc w:val="both"/>
      <w:outlineLvl w:val="6"/>
    </w:pPr>
    <w:rPr>
      <w:rFonts w:ascii="Vanta Light" w:hAnsi="Vanta Light"/>
      <w:kern w:val="2"/>
      <w:sz w:val="16"/>
      <w:szCs w:val="16"/>
    </w:rPr>
  </w:style>
  <w:style w:type="paragraph" w:styleId="29">
    <w:name w:val="TOC 2"/>
    <w:basedOn w:val="Normal"/>
    <w:next w:val="Normal"/>
    <w:autoRedefine/>
    <w:uiPriority w:val="39"/>
    <w:rsid w:val="00716026"/>
    <w:pPr>
      <w:ind w:left="240" w:hanging="0"/>
    </w:pPr>
    <w:rPr/>
  </w:style>
  <w:style w:type="paragraph" w:styleId="16">
    <w:name w:val="TOC 1"/>
    <w:basedOn w:val="Normal"/>
    <w:next w:val="Normal"/>
    <w:autoRedefine/>
    <w:uiPriority w:val="39"/>
    <w:rsid w:val="00716026"/>
    <w:pPr/>
    <w:rPr/>
  </w:style>
  <w:style w:type="paragraph" w:styleId="38">
    <w:name w:val="TOC 3"/>
    <w:basedOn w:val="Normal"/>
    <w:next w:val="Normal"/>
    <w:autoRedefine/>
    <w:uiPriority w:val="39"/>
    <w:rsid w:val="00f848cf"/>
    <w:pPr>
      <w:tabs>
        <w:tab w:val="clear" w:pos="708"/>
        <w:tab w:val="right" w:pos="9912" w:leader="dot"/>
      </w:tabs>
      <w:jc w:val="both"/>
    </w:pPr>
    <w:rPr>
      <w:color w:val="000000"/>
    </w:rPr>
  </w:style>
  <w:style w:type="paragraph" w:styleId="Xl22" w:customStyle="1">
    <w:name w:val="xl22"/>
    <w:basedOn w:val="Normal"/>
    <w:qFormat/>
    <w:rsid w:val="00141032"/>
    <w:pPr>
      <w:spacing w:before="100" w:after="100"/>
      <w:jc w:val="center"/>
    </w:pPr>
    <w:rPr>
      <w:szCs w:val="20"/>
    </w:rPr>
  </w:style>
  <w:style w:type="paragraph" w:styleId="NormalWeb">
    <w:name w:val="Normal (Web)"/>
    <w:basedOn w:val="Normal"/>
    <w:uiPriority w:val="99"/>
    <w:qFormat/>
    <w:rsid w:val="00627808"/>
    <w:pPr/>
    <w:rPr/>
  </w:style>
  <w:style w:type="paragraph" w:styleId="BalloonText">
    <w:name w:val="Balloon Text"/>
    <w:basedOn w:val="Normal"/>
    <w:link w:val="af5"/>
    <w:qFormat/>
    <w:rsid w:val="009832ef"/>
    <w:pPr/>
    <w:rPr>
      <w:rFonts w:ascii="Tahoma" w:hAnsi="Tahoma"/>
      <w:sz w:val="16"/>
      <w:szCs w:val="16"/>
      <w:lang w:val="x-none" w:eastAsia="x-none"/>
    </w:rPr>
  </w:style>
  <w:style w:type="paragraph" w:styleId="17" w:customStyle="1">
    <w:name w:val="Заголовок №1"/>
    <w:basedOn w:val="Normal"/>
    <w:link w:val="13"/>
    <w:qFormat/>
    <w:rsid w:val="00a8315a"/>
    <w:pPr>
      <w:shd w:val="clear" w:color="auto" w:fill="FFFFFF"/>
      <w:spacing w:lineRule="exact" w:line="307" w:before="0" w:after="300"/>
      <w:jc w:val="center"/>
      <w:outlineLvl w:val="0"/>
    </w:pPr>
    <w:rPr>
      <w:b/>
      <w:bCs/>
      <w:sz w:val="23"/>
      <w:szCs w:val="23"/>
      <w:lang w:val="x-none" w:eastAsia="x-none"/>
    </w:rPr>
  </w:style>
  <w:style w:type="paragraph" w:styleId="39" w:customStyle="1">
    <w:name w:val="Основной текст (3)"/>
    <w:basedOn w:val="Normal"/>
    <w:link w:val="36"/>
    <w:qFormat/>
    <w:rsid w:val="00a8315a"/>
    <w:pPr>
      <w:shd w:val="clear" w:color="auto" w:fill="FFFFFF"/>
      <w:spacing w:lineRule="exact" w:line="250"/>
      <w:jc w:val="both"/>
    </w:pPr>
    <w:rPr>
      <w:rFonts w:ascii="Arial Narrow" w:hAnsi="Arial Narrow"/>
      <w:sz w:val="19"/>
      <w:szCs w:val="19"/>
      <w:lang w:val="x-none" w:eastAsia="x-none"/>
    </w:rPr>
  </w:style>
  <w:style w:type="paragraph" w:styleId="44" w:customStyle="1">
    <w:name w:val="Основной текст (4)"/>
    <w:basedOn w:val="Normal"/>
    <w:link w:val="42"/>
    <w:qFormat/>
    <w:rsid w:val="00a8315a"/>
    <w:pPr>
      <w:shd w:val="clear" w:color="auto" w:fill="FFFFFF"/>
      <w:spacing w:lineRule="atLeast" w:line="240"/>
    </w:pPr>
    <w:rPr>
      <w:rFonts w:ascii="Arial Narrow" w:hAnsi="Arial Narrow"/>
      <w:b/>
      <w:bCs/>
      <w:sz w:val="20"/>
      <w:szCs w:val="20"/>
      <w:lang w:val="x-none" w:eastAsia="x-none"/>
    </w:rPr>
  </w:style>
  <w:style w:type="paragraph" w:styleId="84" w:customStyle="1">
    <w:name w:val="Основной текст (8)"/>
    <w:basedOn w:val="Normal"/>
    <w:qFormat/>
    <w:rsid w:val="00a8315a"/>
    <w:pPr>
      <w:shd w:val="clear" w:color="auto" w:fill="FFFFFF"/>
      <w:spacing w:lineRule="exact" w:line="269" w:before="360" w:after="660"/>
      <w:jc w:val="center"/>
    </w:pPr>
    <w:rPr>
      <w:rFonts w:eastAsia="DejaVu Sans"/>
      <w:sz w:val="20"/>
      <w:szCs w:val="20"/>
    </w:rPr>
  </w:style>
  <w:style w:type="paragraph" w:styleId="210" w:customStyle="1">
    <w:name w:val="Заголовок №2"/>
    <w:basedOn w:val="Normal"/>
    <w:link w:val="23"/>
    <w:qFormat/>
    <w:rsid w:val="00a8315a"/>
    <w:pPr>
      <w:shd w:val="clear" w:color="auto" w:fill="FFFFFF"/>
      <w:spacing w:lineRule="atLeast" w:line="240" w:before="660" w:after="120"/>
      <w:jc w:val="center"/>
      <w:outlineLvl w:val="1"/>
    </w:pPr>
    <w:rPr>
      <w:b/>
      <w:bCs/>
      <w:sz w:val="22"/>
      <w:szCs w:val="22"/>
      <w:lang w:val="x-none" w:eastAsia="x-none"/>
    </w:rPr>
  </w:style>
  <w:style w:type="paragraph" w:styleId="97" w:customStyle="1">
    <w:name w:val="Основной текст (9)"/>
    <w:basedOn w:val="Normal"/>
    <w:qFormat/>
    <w:rsid w:val="00a8315a"/>
    <w:pPr>
      <w:shd w:val="clear" w:color="auto" w:fill="FFFFFF"/>
      <w:spacing w:lineRule="exact" w:line="706" w:before="120" w:after="0"/>
      <w:jc w:val="right"/>
    </w:pPr>
    <w:rPr>
      <w:rFonts w:eastAsia="DejaVu Sans"/>
      <w:sz w:val="22"/>
      <w:szCs w:val="22"/>
    </w:rPr>
  </w:style>
  <w:style w:type="paragraph" w:styleId="222" w:customStyle="1">
    <w:name w:val="Заголовок №2 (2)"/>
    <w:basedOn w:val="Normal"/>
    <w:link w:val="220"/>
    <w:qFormat/>
    <w:rsid w:val="00a8315a"/>
    <w:pPr>
      <w:shd w:val="clear" w:color="auto" w:fill="FFFFFF"/>
      <w:spacing w:lineRule="exact" w:line="566" w:before="420" w:after="60"/>
      <w:jc w:val="right"/>
      <w:outlineLvl w:val="1"/>
    </w:pPr>
    <w:rPr>
      <w:rFonts w:ascii="Arial Narrow" w:hAnsi="Arial Narrow"/>
      <w:b/>
      <w:bCs/>
      <w:sz w:val="20"/>
      <w:szCs w:val="20"/>
      <w:lang w:val="x-none" w:eastAsia="x-none"/>
    </w:rPr>
  </w:style>
  <w:style w:type="paragraph" w:styleId="Style34" w:customStyle="1">
    <w:name w:val="Стиль Интелис"/>
    <w:basedOn w:val="Normal"/>
    <w:qFormat/>
    <w:rsid w:val="007f0245"/>
    <w:pPr>
      <w:spacing w:before="120" w:after="120"/>
      <w:ind w:firstLine="567"/>
      <w:jc w:val="both"/>
    </w:pPr>
    <w:rPr>
      <w:rFonts w:ascii="Myriad Pro Cond" w:hAnsi="Myriad Pro Cond"/>
      <w:szCs w:val="20"/>
    </w:rPr>
  </w:style>
  <w:style w:type="paragraph" w:styleId="Caption">
    <w:name w:val="caption"/>
    <w:basedOn w:val="Normal"/>
    <w:next w:val="Normal"/>
    <w:link w:val="afa"/>
    <w:qFormat/>
    <w:rsid w:val="007f0245"/>
    <w:pPr/>
    <w:rPr>
      <w:b/>
      <w:bCs/>
      <w:sz w:val="20"/>
      <w:szCs w:val="20"/>
      <w:lang w:val="x-none" w:eastAsia="x-none"/>
    </w:rPr>
  </w:style>
  <w:style w:type="paragraph" w:styleId="Style35">
    <w:name w:val="Footnote Text"/>
    <w:basedOn w:val="Normal"/>
    <w:link w:val="15"/>
    <w:rsid w:val="007f0245"/>
    <w:pPr/>
    <w:rPr>
      <w:sz w:val="20"/>
      <w:szCs w:val="20"/>
    </w:rPr>
  </w:style>
  <w:style w:type="paragraph" w:styleId="EBody" w:customStyle="1">
    <w:name w:val="EBody"/>
    <w:basedOn w:val="Normal"/>
    <w:qFormat/>
    <w:rsid w:val="007f0245"/>
    <w:pPr>
      <w:spacing w:before="60" w:after="60"/>
      <w:ind w:firstLine="567"/>
    </w:pPr>
    <w:rPr>
      <w:rFonts w:ascii="Tahoma" w:hAnsi="Tahoma"/>
      <w:sz w:val="18"/>
      <w:szCs w:val="20"/>
    </w:rPr>
  </w:style>
  <w:style w:type="paragraph" w:styleId="310" w:customStyle="1">
    <w:name w:val="Стиль Заголовок 3"/>
    <w:basedOn w:val="3"/>
    <w:qFormat/>
    <w:rsid w:val="00531b07"/>
    <w:pPr/>
    <w:rPr>
      <w:rFonts w:ascii="Myriad Pro Cond" w:hAnsi="Myriad Pro Cond" w:cs="Times New Roman"/>
      <w:color w:val="127BCA"/>
      <w:sz w:val="24"/>
      <w:szCs w:val="24"/>
      <w:lang w:val="x-none" w:eastAsia="x-none"/>
    </w:rPr>
  </w:style>
  <w:style w:type="paragraph" w:styleId="18" w:customStyle="1">
    <w:name w:val="Стиль Заголовок 1"/>
    <w:basedOn w:val="1"/>
    <w:next w:val="Normal"/>
    <w:qFormat/>
    <w:rsid w:val="009c6f89"/>
    <w:pPr>
      <w:pageBreakBefore/>
      <w:tabs>
        <w:tab w:val="left" w:pos="-1260" w:leader="none"/>
        <w:tab w:val="left" w:pos="-900" w:leader="none"/>
        <w:tab w:val="left" w:pos="680" w:leader="none"/>
        <w:tab w:val="left" w:pos="2160" w:leader="none"/>
        <w:tab w:val="left" w:pos="7230" w:leader="none"/>
      </w:tabs>
      <w:overflowPunct w:val="false"/>
      <w:jc w:val="left"/>
      <w:textAlignment w:val="auto"/>
    </w:pPr>
    <w:rPr>
      <w:rFonts w:ascii="Myriad Pro Cond" w:hAnsi="Myriad Pro Cond"/>
      <w:bCs/>
      <w:color w:val="127BCA"/>
      <w:kern w:val="2"/>
      <w:sz w:val="32"/>
      <w:szCs w:val="32"/>
    </w:rPr>
  </w:style>
  <w:style w:type="paragraph" w:styleId="211" w:customStyle="1">
    <w:name w:val="Стиль Заголовок 2"/>
    <w:basedOn w:val="2"/>
    <w:next w:val="Normal"/>
    <w:qFormat/>
    <w:rsid w:val="009c6f89"/>
    <w:pPr>
      <w:tabs>
        <w:tab w:val="clear" w:pos="708"/>
        <w:tab w:val="left" w:pos="851" w:leader="none"/>
      </w:tabs>
      <w:overflowPunct w:val="false"/>
      <w:spacing w:lineRule="auto" w:line="240" w:before="120" w:after="120"/>
      <w:jc w:val="left"/>
      <w:textAlignment w:val="auto"/>
    </w:pPr>
    <w:rPr>
      <w:rFonts w:ascii="Myriad Pro Cond" w:hAnsi="Myriad Pro Cond" w:cs="Arial"/>
      <w:color w:val="127BCA"/>
      <w:sz w:val="28"/>
      <w:szCs w:val="20"/>
    </w:rPr>
  </w:style>
  <w:style w:type="paragraph" w:styleId="311" w:customStyle="1">
    <w:name w:val="Основной текст (3)1"/>
    <w:basedOn w:val="Normal"/>
    <w:qFormat/>
    <w:rsid w:val="00687628"/>
    <w:pPr>
      <w:shd w:val="clear" w:color="auto" w:fill="FFFFFF"/>
      <w:spacing w:lineRule="atLeast" w:line="240"/>
    </w:pPr>
    <w:rPr>
      <w:b/>
      <w:bCs/>
      <w:sz w:val="19"/>
      <w:szCs w:val="19"/>
    </w:rPr>
  </w:style>
  <w:style w:type="paragraph" w:styleId="1211" w:customStyle="1">
    <w:name w:val="Заголовок №1 (2)1"/>
    <w:basedOn w:val="Normal"/>
    <w:link w:val="120"/>
    <w:qFormat/>
    <w:rsid w:val="00b56d43"/>
    <w:pPr>
      <w:shd w:val="clear" w:color="auto" w:fill="FFFFFF"/>
      <w:spacing w:lineRule="atLeast" w:line="240" w:before="300" w:after="300"/>
      <w:outlineLvl w:val="0"/>
    </w:pPr>
    <w:rPr>
      <w:b/>
      <w:bCs/>
      <w:sz w:val="28"/>
      <w:szCs w:val="28"/>
      <w:lang w:val="x-none" w:eastAsia="x-none"/>
    </w:rPr>
  </w:style>
  <w:style w:type="paragraph" w:styleId="411" w:customStyle="1">
    <w:name w:val="Основной текст (4)1"/>
    <w:basedOn w:val="Normal"/>
    <w:qFormat/>
    <w:rsid w:val="00b56d43"/>
    <w:pPr>
      <w:shd w:val="clear" w:color="auto" w:fill="FFFFFF"/>
      <w:spacing w:lineRule="atLeast" w:line="240"/>
    </w:pPr>
    <w:rPr>
      <w:b/>
      <w:bCs/>
      <w:sz w:val="16"/>
      <w:szCs w:val="16"/>
    </w:rPr>
  </w:style>
  <w:style w:type="paragraph" w:styleId="51" w:customStyle="1">
    <w:name w:val="Основной текст (5)"/>
    <w:basedOn w:val="Normal"/>
    <w:link w:val="5"/>
    <w:qFormat/>
    <w:rsid w:val="00b56d43"/>
    <w:pPr>
      <w:shd w:val="clear" w:color="auto" w:fill="FFFFFF"/>
      <w:spacing w:lineRule="atLeast" w:line="240"/>
    </w:pPr>
    <w:rPr>
      <w:sz w:val="19"/>
      <w:szCs w:val="19"/>
      <w:lang w:val="x-none" w:eastAsia="x-none"/>
    </w:rPr>
  </w:style>
  <w:style w:type="paragraph" w:styleId="Style36" w:customStyle="1">
    <w:name w:val="Подпись к таблице"/>
    <w:basedOn w:val="Normal"/>
    <w:qFormat/>
    <w:rsid w:val="00b56d43"/>
    <w:pPr>
      <w:shd w:val="clear" w:color="auto" w:fill="FFFFFF"/>
      <w:spacing w:lineRule="exact" w:line="269"/>
    </w:pPr>
    <w:rPr/>
  </w:style>
  <w:style w:type="paragraph" w:styleId="212" w:customStyle="1">
    <w:name w:val="Подпись к таблице (2)1"/>
    <w:basedOn w:val="Normal"/>
    <w:qFormat/>
    <w:rsid w:val="00b56d43"/>
    <w:pPr>
      <w:shd w:val="clear" w:color="auto" w:fill="FFFFFF"/>
      <w:spacing w:lineRule="exact" w:line="269"/>
    </w:pPr>
    <w:rPr>
      <w:b/>
      <w:bCs/>
    </w:rPr>
  </w:style>
  <w:style w:type="paragraph" w:styleId="213" w:customStyle="1">
    <w:name w:val="Основной текст (2)1"/>
    <w:basedOn w:val="Normal"/>
    <w:link w:val="26"/>
    <w:qFormat/>
    <w:rsid w:val="00b56d43"/>
    <w:pPr>
      <w:shd w:val="clear" w:color="auto" w:fill="FFFFFF"/>
      <w:spacing w:lineRule="atLeast" w:line="240"/>
    </w:pPr>
    <w:rPr>
      <w:sz w:val="20"/>
      <w:szCs w:val="20"/>
      <w:lang w:val="x-none" w:eastAsia="x-none"/>
    </w:rPr>
  </w:style>
  <w:style w:type="paragraph" w:styleId="312" w:customStyle="1">
    <w:name w:val="Подпись к таблице (3)1"/>
    <w:basedOn w:val="Normal"/>
    <w:link w:val="38"/>
    <w:qFormat/>
    <w:rsid w:val="00b56d43"/>
    <w:pPr>
      <w:shd w:val="clear" w:color="auto" w:fill="FFFFFF"/>
      <w:spacing w:lineRule="atLeast" w:line="240"/>
    </w:pPr>
    <w:rPr>
      <w:sz w:val="19"/>
      <w:szCs w:val="19"/>
      <w:lang w:val="x-none" w:eastAsia="x-none"/>
    </w:rPr>
  </w:style>
  <w:style w:type="paragraph" w:styleId="BodyText3">
    <w:name w:val="Body Text 3"/>
    <w:basedOn w:val="Normal"/>
    <w:link w:val="3b"/>
    <w:qFormat/>
    <w:rsid w:val="00391129"/>
    <w:pPr>
      <w:spacing w:before="0" w:after="120"/>
    </w:pPr>
    <w:rPr>
      <w:sz w:val="16"/>
      <w:szCs w:val="16"/>
      <w:lang w:val="x-none" w:eastAsia="x-none"/>
    </w:rPr>
  </w:style>
  <w:style w:type="paragraph" w:styleId="19" w:customStyle="1">
    <w:name w:val="Текст1"/>
    <w:basedOn w:val="Normal"/>
    <w:qFormat/>
    <w:rsid w:val="00915538"/>
    <w:pPr>
      <w:overflowPunct w:val="true"/>
      <w:textAlignment w:val="baseline"/>
    </w:pPr>
    <w:rPr>
      <w:rFonts w:ascii="Courier New" w:hAnsi="Courier New"/>
      <w:sz w:val="20"/>
      <w:szCs w:val="20"/>
    </w:rPr>
  </w:style>
  <w:style w:type="paragraph" w:styleId="Default" w:customStyle="1">
    <w:name w:val="default"/>
    <w:basedOn w:val="Normal"/>
    <w:qFormat/>
    <w:rsid w:val="00915538"/>
    <w:pPr>
      <w:spacing w:before="100" w:after="0"/>
    </w:pPr>
    <w:rPr>
      <w:rFonts w:ascii="Tahoma" w:hAnsi="Tahoma" w:eastAsia="Arial Unicode MS" w:cs="Tahoma"/>
      <w:sz w:val="16"/>
      <w:szCs w:val="16"/>
    </w:rPr>
  </w:style>
  <w:style w:type="paragraph" w:styleId="110" w:customStyle="1">
    <w:name w:val="Обычный1"/>
    <w:qFormat/>
    <w:rsid w:val="00915538"/>
    <w:pPr>
      <w:widowControl/>
      <w:bidi w:val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0"/>
      <w:lang w:val="ru-RU" w:eastAsia="ru-RU" w:bidi="ar-SA"/>
    </w:rPr>
  </w:style>
  <w:style w:type="paragraph" w:styleId="214" w:customStyle="1">
    <w:name w:val="Заголовок 21"/>
    <w:basedOn w:val="Normal"/>
    <w:uiPriority w:val="1"/>
    <w:qFormat/>
    <w:rsid w:val="00915538"/>
    <w:pPr>
      <w:widowControl w:val="false"/>
      <w:ind w:left="798" w:hanging="681"/>
      <w:outlineLvl w:val="2"/>
    </w:pPr>
    <w:rPr>
      <w:rFonts w:ascii="Arial" w:hAnsi="Arial" w:eastAsia="Arial"/>
      <w:b/>
      <w:bCs/>
      <w:sz w:val="22"/>
      <w:szCs w:val="22"/>
      <w:lang w:val="en-US" w:eastAsia="en-US"/>
    </w:rPr>
  </w:style>
  <w:style w:type="paragraph" w:styleId="215" w:customStyle="1">
    <w:name w:val="заголовок 2"/>
    <w:basedOn w:val="Normal"/>
    <w:next w:val="Normal"/>
    <w:autoRedefine/>
    <w:qFormat/>
    <w:rsid w:val="006b4cc5"/>
    <w:pPr>
      <w:keepNext w:val="true"/>
      <w:spacing w:before="120" w:after="60"/>
      <w:jc w:val="center"/>
      <w:outlineLvl w:val="1"/>
    </w:pPr>
    <w:rPr>
      <w:b/>
      <w:sz w:val="32"/>
      <w:szCs w:val="32"/>
    </w:rPr>
  </w:style>
  <w:style w:type="paragraph" w:styleId="Style37" w:customStyle="1">
    <w:name w:val="Сумма прописью"/>
    <w:basedOn w:val="Normal"/>
    <w:qFormat/>
    <w:rsid w:val="006b4cc5"/>
    <w:pPr>
      <w:tabs>
        <w:tab w:val="clear" w:pos="708"/>
        <w:tab w:val="left" w:pos="284" w:leader="none"/>
      </w:tabs>
      <w:spacing w:before="0" w:after="120"/>
      <w:ind w:firstLine="567"/>
      <w:jc w:val="both"/>
    </w:pPr>
    <w:rPr>
      <w:rFonts w:eastAsia="MS Sans Serif"/>
      <w:sz w:val="28"/>
      <w:szCs w:val="20"/>
    </w:rPr>
  </w:style>
  <w:style w:type="paragraph" w:styleId="Formattext" w:customStyle="1">
    <w:name w:val="formattext"/>
    <w:basedOn w:val="Normal"/>
    <w:qFormat/>
    <w:rsid w:val="00373ce0"/>
    <w:pPr>
      <w:spacing w:beforeAutospacing="1" w:afterAutospacing="1"/>
    </w:pPr>
    <w:rPr/>
  </w:style>
  <w:style w:type="paragraph" w:styleId="Style38" w:customStyle="1">
    <w:name w:val="Таблица-текст"/>
    <w:basedOn w:val="Normal"/>
    <w:uiPriority w:val="99"/>
    <w:qFormat/>
    <w:rsid w:val="000c4e6b"/>
    <w:pPr>
      <w:spacing w:before="40" w:after="40"/>
      <w:jc w:val="both"/>
    </w:pPr>
    <w:rPr>
      <w:sz w:val="22"/>
      <w:szCs w:val="20"/>
    </w:rPr>
  </w:style>
  <w:style w:type="paragraph" w:styleId="52" w:customStyle="1">
    <w:name w:val="Основной текст5"/>
    <w:basedOn w:val="Normal"/>
    <w:link w:val="aff1"/>
    <w:qFormat/>
    <w:rsid w:val="00d1470f"/>
    <w:pPr>
      <w:widowControl w:val="false"/>
      <w:shd w:val="clear" w:color="auto" w:fill="FFFFFF"/>
      <w:spacing w:lineRule="exact" w:line="360"/>
      <w:ind w:hanging="1840"/>
      <w:jc w:val="right"/>
    </w:pPr>
    <w:rPr>
      <w:rFonts w:ascii="Arial Unicode MS" w:hAnsi="Arial Unicode MS" w:eastAsia="Arial Unicode MS" w:cs="Arial Unicode MS"/>
      <w:sz w:val="20"/>
      <w:szCs w:val="20"/>
    </w:rPr>
  </w:style>
  <w:style w:type="paragraph" w:styleId="Default1" w:customStyle="1">
    <w:name w:val="Default"/>
    <w:uiPriority w:val="99"/>
    <w:qFormat/>
    <w:rsid w:val="00e2686a"/>
    <w:pPr>
      <w:widowControl/>
      <w:bidi w:val="0"/>
      <w:jc w:val="left"/>
    </w:pPr>
    <w:rPr>
      <w:rFonts w:ascii="Times New Roman" w:hAnsi="Times New Roman" w:eastAsia="Times New Roman" w:cs="Times New Roman"/>
      <w:color w:val="000000"/>
      <w:kern w:val="0"/>
      <w:sz w:val="24"/>
      <w:szCs w:val="24"/>
      <w:lang w:val="ru-RU" w:eastAsia="ru-RU" w:bidi="ar-SA"/>
    </w:rPr>
  </w:style>
  <w:style w:type="paragraph" w:styleId="NoSpacing">
    <w:name w:val="No Spacing"/>
    <w:uiPriority w:val="1"/>
    <w:qFormat/>
    <w:rsid w:val="00a1045a"/>
    <w:pPr>
      <w:widowControl w:val="false"/>
      <w:bidi w:val="0"/>
      <w:jc w:val="left"/>
    </w:pPr>
    <w:rPr>
      <w:rFonts w:ascii="Courier New" w:hAnsi="Courier New" w:eastAsia="Courier New" w:cs="Courier New"/>
      <w:color w:val="000000"/>
      <w:kern w:val="0"/>
      <w:sz w:val="24"/>
      <w:szCs w:val="24"/>
      <w:lang w:bidi="ru-RU" w:val="ru-RU" w:eastAsia="ru-RU"/>
    </w:rPr>
  </w:style>
  <w:style w:type="paragraph" w:styleId="Style39" w:customStyle="1">
    <w:name w:val="Нумерованный"/>
    <w:basedOn w:val="Normal"/>
    <w:qFormat/>
    <w:rsid w:val="00af6be0"/>
    <w:pPr>
      <w:widowControl w:val="false"/>
      <w:ind w:right="284" w:hanging="0"/>
      <w:jc w:val="both"/>
    </w:pPr>
    <w:rPr>
      <w:rFonts w:eastAsia="Calibri"/>
      <w:bCs/>
      <w:szCs w:val="23"/>
    </w:rPr>
  </w:style>
  <w:style w:type="paragraph" w:styleId="BodyTextIndent2">
    <w:name w:val="Body Text Indent 2"/>
    <w:basedOn w:val="Normal"/>
    <w:link w:val="2b"/>
    <w:qFormat/>
    <w:rsid w:val="00af6be0"/>
    <w:pPr>
      <w:spacing w:lineRule="auto" w:line="480" w:before="0" w:after="120"/>
      <w:ind w:left="283" w:hanging="0"/>
    </w:pPr>
    <w:rPr/>
  </w:style>
  <w:style w:type="paragraph" w:styleId="ListParagraph">
    <w:name w:val="List Paragraph"/>
    <w:basedOn w:val="Normal"/>
    <w:uiPriority w:val="34"/>
    <w:qFormat/>
    <w:rsid w:val="00af6be0"/>
    <w:pPr>
      <w:spacing w:before="0" w:after="0"/>
      <w:ind w:left="720" w:hanging="0"/>
      <w:contextualSpacing/>
    </w:pPr>
    <w:rPr>
      <w:sz w:val="20"/>
      <w:szCs w:val="20"/>
      <w:lang w:val="en-US" w:eastAsia="en-US"/>
    </w:rPr>
  </w:style>
  <w:style w:type="paragraph" w:styleId="Xl30" w:customStyle="1">
    <w:name w:val="xl30"/>
    <w:basedOn w:val="Normal"/>
    <w:qFormat/>
    <w:rsid w:val="000a5694"/>
    <w:pPr>
      <w:pBdr>
        <w:left w:val="double" w:sz="6" w:space="0" w:color="000000"/>
      </w:pBdr>
      <w:spacing w:beforeAutospacing="1" w:afterAutospacing="1"/>
    </w:pPr>
    <w:rPr>
      <w:rFonts w:ascii="Arial Unicode MS" w:hAnsi="Arial Unicode MS" w:eastAsia="Arial Unicode MS" w:cs="Arial Unicode MS"/>
    </w:rPr>
  </w:style>
  <w:style w:type="paragraph" w:styleId="Annotationtext">
    <w:name w:val="annotation text"/>
    <w:basedOn w:val="Normal"/>
    <w:link w:val="aff5"/>
    <w:uiPriority w:val="99"/>
    <w:unhideWhenUsed/>
    <w:qFormat/>
    <w:rsid w:val="00326c27"/>
    <w:pPr/>
    <w:rPr>
      <w:sz w:val="20"/>
      <w:szCs w:val="20"/>
    </w:rPr>
  </w:style>
  <w:style w:type="paragraph" w:styleId="102" w:customStyle="1">
    <w:name w:val="Стиль10"/>
    <w:basedOn w:val="Normal"/>
    <w:uiPriority w:val="99"/>
    <w:qFormat/>
    <w:rsid w:val="00326c27"/>
    <w:pPr>
      <w:jc w:val="center"/>
    </w:pPr>
    <w:rPr>
      <w:sz w:val="20"/>
      <w:szCs w:val="20"/>
      <w:lang w:eastAsia="en-US"/>
    </w:rPr>
  </w:style>
  <w:style w:type="paragraph" w:styleId="ConsPlusNormal" w:customStyle="1">
    <w:name w:val="ConsPlusNormal"/>
    <w:uiPriority w:val="99"/>
    <w:qFormat/>
    <w:rsid w:val="00da0c0f"/>
    <w:pPr>
      <w:widowControl w:val="false"/>
      <w:bidi w:val="0"/>
      <w:ind w:firstLine="720"/>
      <w:jc w:val="left"/>
    </w:pPr>
    <w:rPr>
      <w:rFonts w:ascii="Arial" w:hAnsi="Arial" w:cs="Arial" w:eastAsia="Times New Roman"/>
      <w:color w:val="auto"/>
      <w:kern w:val="0"/>
      <w:sz w:val="24"/>
      <w:szCs w:val="20"/>
      <w:lang w:val="ru-RU" w:eastAsia="ru-RU" w:bidi="ar-SA"/>
    </w:rPr>
  </w:style>
  <w:style w:type="paragraph" w:styleId="111" w:customStyle="1">
    <w:name w:val="Основной текст1"/>
    <w:basedOn w:val="Normal"/>
    <w:qFormat/>
    <w:rsid w:val="00da0c0f"/>
    <w:pPr>
      <w:widowControl w:val="false"/>
      <w:shd w:val="clear" w:color="auto" w:fill="FFFFFF"/>
      <w:spacing w:lineRule="auto" w:line="264"/>
      <w:ind w:firstLine="300"/>
    </w:pPr>
    <w:rPr>
      <w:sz w:val="19"/>
      <w:szCs w:val="19"/>
    </w:rPr>
  </w:style>
  <w:style w:type="paragraph" w:styleId="Style40" w:customStyle="1">
    <w:name w:val="Другое"/>
    <w:basedOn w:val="Normal"/>
    <w:link w:val="aff6"/>
    <w:qFormat/>
    <w:rsid w:val="00da0c0f"/>
    <w:pPr>
      <w:widowControl w:val="false"/>
      <w:shd w:val="clear" w:color="auto" w:fill="FFFFFF"/>
      <w:spacing w:lineRule="auto" w:line="264"/>
      <w:ind w:firstLine="300"/>
    </w:pPr>
    <w:rPr>
      <w:sz w:val="19"/>
      <w:szCs w:val="19"/>
    </w:rPr>
  </w:style>
  <w:style w:type="paragraph" w:styleId="Style41" w:customStyle="1">
    <w:name w:val="Подпись к картинке"/>
    <w:basedOn w:val="Normal"/>
    <w:link w:val="aff8"/>
    <w:qFormat/>
    <w:rsid w:val="00da0c0f"/>
    <w:pPr>
      <w:widowControl w:val="false"/>
      <w:shd w:val="clear" w:color="auto" w:fill="FFFFFF"/>
    </w:pPr>
    <w:rPr>
      <w:sz w:val="13"/>
      <w:szCs w:val="13"/>
    </w:rPr>
  </w:style>
  <w:style w:type="paragraph" w:styleId="Style42">
    <w:name w:val="Содержимое врезки"/>
    <w:basedOn w:val="Normal"/>
    <w:qFormat/>
    <w:pPr/>
    <w:rPr/>
  </w:style>
  <w:style w:type="paragraph" w:styleId="Style43">
    <w:name w:val="Содержимое таблицы"/>
    <w:basedOn w:val="Normal"/>
    <w:qFormat/>
    <w:pPr>
      <w:suppressLineNumbers/>
    </w:pPr>
    <w:rPr/>
  </w:style>
  <w:style w:type="paragraph" w:styleId="Style44">
    <w:name w:val="Заголовок таблицы"/>
    <w:basedOn w:val="Style43"/>
    <w:qFormat/>
    <w:pPr>
      <w:suppressLineNumbers/>
      <w:jc w:val="center"/>
    </w:pPr>
    <w:rPr>
      <w:b/>
      <w:bCs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b">
    <w:name w:val="Table Grid"/>
    <w:basedOn w:val="a2"/>
    <w:uiPriority w:val="59"/>
    <w:rsid w:val="00aa2dfa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-1">
    <w:name w:val="Light Shading Accent 1"/>
    <w:basedOn w:val="a2"/>
    <w:uiPriority w:val="60"/>
    <w:unhideWhenUsed/>
    <w:rsid w:val="003c4c00"/>
    <w:rPr>
      <w:color w:val="2E74B5" w:themeColor="accent1" w:themeShade="bf"/>
    </w:rPr>
    <w:tblPr>
      <w:tblStyleRowBandSize w:val="1"/>
      <w:tblStyleColBandSize w:val="1"/>
      <w:tblInd w:w="0" w:type="nil"/>
      <w:tblBorders>
        <w:top w:val="single" w:color="5B9BD5" w:themeColor="accent1" w:sz="8" w:space="0"/>
        <w:bottom w:val="single" w:color="5B9BD5" w:themeColor="accent1" w:sz="8" w:space="0"/>
      </w:tblBorders>
    </w:tblPr>
    <w:tblStylePr w:type="firstRow">
      <w:pPr>
        <w:spacing w:before="0" w:beforeLines="0" w:after="0" w:afterLines="0" w:line="240" w:lineRule="auto"/>
      </w:pPr>
      <w:rPr>
        <w:b/>
        <w:bCs/>
      </w:rPr>
      <w:tblPr/>
      <w:tcPr>
        <w:tcBorders>
          <w:top w:val="single" w:color="5B9BD5" w:themeColor="accent1" w:sz="8" w:space="0"/>
          <w:left w:val="nil"/>
          <w:bottom w:val="single" w:color="5B9BD5" w:themeColor="accent1" w:sz="8" w:space="0"/>
          <w:right w:val="nil"/>
          <w:insideH w:val="nil"/>
          <w:insideV w:val="nil"/>
        </w:tcBorders>
      </w:tcPr>
    </w:tblStylePr>
    <w:tblStylePr w:type="lastRow">
      <w:pPr>
        <w:spacing w:before="0" w:beforeLines="0" w:after="0" w:afterLines="0" w:line="240" w:lineRule="auto"/>
      </w:pPr>
      <w:rPr>
        <w:b/>
        <w:bCs/>
      </w:rPr>
      <w:tblPr/>
      <w:tcPr>
        <w:tcBorders>
          <w:top w:val="single" w:color="5B9BD5" w:themeColor="accent1" w:sz="8" w:space="0"/>
          <w:left w:val="nil"/>
          <w:bottom w:val="single" w:color="5B9BD5" w:themeColor="accen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  <w:tblPr/>
    </w:tblStylePr>
    <w:tblStylePr w:type="lastCol">
      <w:rPr>
        <w:b/>
        <w:bCs/>
      </w:rPr>
      <w:tblPr/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hyperlink" Target="http://www.emex.ru/" TargetMode="External"/><Relationship Id="rId11" Type="http://schemas.openxmlformats.org/officeDocument/2006/relationships/image" Target="media/image9.jpeg"/><Relationship Id="rId12" Type="http://schemas.openxmlformats.org/officeDocument/2006/relationships/image" Target="media/image10.jpeg"/><Relationship Id="rId13" Type="http://schemas.openxmlformats.org/officeDocument/2006/relationships/image" Target="media/image11.jpeg"/><Relationship Id="rId14" Type="http://schemas.openxmlformats.org/officeDocument/2006/relationships/image" Target="media/image12.jpeg"/><Relationship Id="rId15" Type="http://schemas.openxmlformats.org/officeDocument/2006/relationships/image" Target="media/image13.jpeg"/><Relationship Id="rId16" Type="http://schemas.openxmlformats.org/officeDocument/2006/relationships/image" Target="media/image14.jpeg"/><Relationship Id="rId17" Type="http://schemas.openxmlformats.org/officeDocument/2006/relationships/image" Target="media/image15.jpeg"/><Relationship Id="rId18" Type="http://schemas.openxmlformats.org/officeDocument/2006/relationships/image" Target="media/image16.jpeg"/><Relationship Id="rId19" Type="http://schemas.openxmlformats.org/officeDocument/2006/relationships/image" Target="media/image17.jpeg"/><Relationship Id="rId20" Type="http://schemas.openxmlformats.org/officeDocument/2006/relationships/hyperlink" Target="https://www.globalrent.ru/" TargetMode="External"/><Relationship Id="rId21" Type="http://schemas.openxmlformats.org/officeDocument/2006/relationships/hyperlink" Target="https://nivus.ru/" TargetMode="External"/><Relationship Id="rId22" Type="http://schemas.openxmlformats.org/officeDocument/2006/relationships/hyperlink" Target="http://pro-pokraska.ru/" TargetMode="External"/><Relationship Id="rId23" Type="http://schemas.openxmlformats.org/officeDocument/2006/relationships/hyperlink" Target="https://symbol-service.ru/" TargetMode="External"/><Relationship Id="rId24" Type="http://schemas.openxmlformats.org/officeDocument/2006/relationships/hyperlink" Target="https://pitstopcolor.ru/" TargetMode="External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hyperlink" Target="https://auto.ru/cars/used/sale/nissan/juke/1118056504-212a5237/" TargetMode="External"/><Relationship Id="rId30" Type="http://schemas.openxmlformats.org/officeDocument/2006/relationships/hyperlink" Target="https://auto.ru/cars/used/sale/nissan/juke/1116868584-e4f0b5b8/" TargetMode="External"/><Relationship Id="rId31" Type="http://schemas.openxmlformats.org/officeDocument/2006/relationships/hyperlink" Target="https://auto.ru/cars/used/sale/nissan/juke/1118078213-bbb642bb/" TargetMode="External"/><Relationship Id="rId32" Type="http://schemas.openxmlformats.org/officeDocument/2006/relationships/hyperlink" Target="https://auto.ru/cars/used/sale/nissan/juke/1118057383-239d8865/" TargetMode="External"/><Relationship Id="rId33" Type="http://schemas.openxmlformats.org/officeDocument/2006/relationships/hyperlink" Target="https://auto.ru/cars/used/sale/nissan/juke/1106634101-3dce4e3f/" TargetMode="External"/><Relationship Id="rId34" Type="http://schemas.openxmlformats.org/officeDocument/2006/relationships/hyperlink" Target="https://auto.ru/cars/used/sale/uaz/patriot/1116374286-2fd7dc53/" TargetMode="External"/><Relationship Id="rId35" Type="http://schemas.openxmlformats.org/officeDocument/2006/relationships/hyperlink" Target="https://auto.ru/cars/used/sale/uaz/patriot/1116587298-7c4e9a8b/" TargetMode="External"/><Relationship Id="rId36" Type="http://schemas.openxmlformats.org/officeDocument/2006/relationships/hyperlink" Target="https://auto.ru/cars/used/sale/uaz/patriot/1116209251-66260ef8/" TargetMode="External"/><Relationship Id="rId37" Type="http://schemas.openxmlformats.org/officeDocument/2006/relationships/hyperlink" Target="https://auto.ru/cars/used/sale/uaz/patriot/1116614419-4cf8bb62/" TargetMode="External"/><Relationship Id="rId38" Type="http://schemas.openxmlformats.org/officeDocument/2006/relationships/hyperlink" Target="https://auto.ru/cars/used/sale/uaz/patriot/1115620386-eb85ab9c/" TargetMode="External"/><Relationship Id="rId39" Type="http://schemas.openxmlformats.org/officeDocument/2006/relationships/image" Target="media/image22.jpeg"/><Relationship Id="rId40" Type="http://schemas.openxmlformats.org/officeDocument/2006/relationships/image" Target="media/image23.jpeg"/><Relationship Id="rId41" Type="http://schemas.openxmlformats.org/officeDocument/2006/relationships/image" Target="media/image24.jpeg"/><Relationship Id="rId42" Type="http://schemas.openxmlformats.org/officeDocument/2006/relationships/image" Target="media/image25.jpeg"/><Relationship Id="rId43" Type="http://schemas.openxmlformats.org/officeDocument/2006/relationships/image" Target="media/image26.jpeg"/><Relationship Id="rId44" Type="http://schemas.openxmlformats.org/officeDocument/2006/relationships/image" Target="media/image27.jpeg"/><Relationship Id="rId45" Type="http://schemas.openxmlformats.org/officeDocument/2006/relationships/image" Target="media/image28.jpeg"/><Relationship Id="rId46" Type="http://schemas.openxmlformats.org/officeDocument/2006/relationships/image" Target="media/image29.jpeg"/><Relationship Id="rId47" Type="http://schemas.openxmlformats.org/officeDocument/2006/relationships/image" Target="media/image30.jpeg"/><Relationship Id="rId48" Type="http://schemas.openxmlformats.org/officeDocument/2006/relationships/image" Target="media/image31.jpeg"/><Relationship Id="rId49" Type="http://schemas.openxmlformats.org/officeDocument/2006/relationships/image" Target="media/image32.jpeg"/><Relationship Id="rId50" Type="http://schemas.openxmlformats.org/officeDocument/2006/relationships/image" Target="media/image33.jpeg"/><Relationship Id="rId51" Type="http://schemas.openxmlformats.org/officeDocument/2006/relationships/image" Target="media/image34.jpeg"/><Relationship Id="rId52" Type="http://schemas.openxmlformats.org/officeDocument/2006/relationships/image" Target="media/image35.jpeg"/><Relationship Id="rId53" Type="http://schemas.openxmlformats.org/officeDocument/2006/relationships/image" Target="media/image36.jpeg"/><Relationship Id="rId54" Type="http://schemas.openxmlformats.org/officeDocument/2006/relationships/image" Target="media/image37.jpeg"/><Relationship Id="rId55" Type="http://schemas.openxmlformats.org/officeDocument/2006/relationships/image" Target="media/image38.jpeg"/><Relationship Id="rId56" Type="http://schemas.openxmlformats.org/officeDocument/2006/relationships/image" Target="media/image39.jpeg"/><Relationship Id="rId57" Type="http://schemas.openxmlformats.org/officeDocument/2006/relationships/image" Target="media/image40.jpeg"/><Relationship Id="rId58" Type="http://schemas.openxmlformats.org/officeDocument/2006/relationships/image" Target="media/image41.jpeg"/><Relationship Id="rId59" Type="http://schemas.openxmlformats.org/officeDocument/2006/relationships/image" Target="media/image42.jpeg"/><Relationship Id="rId60" Type="http://schemas.openxmlformats.org/officeDocument/2006/relationships/image" Target="media/image43.jpeg"/><Relationship Id="rId61" Type="http://schemas.openxmlformats.org/officeDocument/2006/relationships/image" Target="media/image44.jpeg"/><Relationship Id="rId62" Type="http://schemas.openxmlformats.org/officeDocument/2006/relationships/image" Target="media/image45.jpeg"/><Relationship Id="rId63" Type="http://schemas.openxmlformats.org/officeDocument/2006/relationships/image" Target="media/image46.jpeg"/><Relationship Id="rId64" Type="http://schemas.openxmlformats.org/officeDocument/2006/relationships/image" Target="media/image47.jpeg"/><Relationship Id="rId65" Type="http://schemas.openxmlformats.org/officeDocument/2006/relationships/image" Target="media/image48.jpeg"/><Relationship Id="rId66" Type="http://schemas.openxmlformats.org/officeDocument/2006/relationships/image" Target="media/image49.jpeg"/><Relationship Id="rId67" Type="http://schemas.openxmlformats.org/officeDocument/2006/relationships/image" Target="media/image50.jpeg"/><Relationship Id="rId68" Type="http://schemas.openxmlformats.org/officeDocument/2006/relationships/image" Target="media/image51.jpeg"/><Relationship Id="rId69" Type="http://schemas.openxmlformats.org/officeDocument/2006/relationships/image" Target="media/image52.jpeg"/><Relationship Id="rId70" Type="http://schemas.openxmlformats.org/officeDocument/2006/relationships/image" Target="media/image53.jpeg"/><Relationship Id="rId71" Type="http://schemas.openxmlformats.org/officeDocument/2006/relationships/image" Target="media/image54.jpeg"/><Relationship Id="rId72" Type="http://schemas.openxmlformats.org/officeDocument/2006/relationships/image" Target="media/image55.jpeg"/><Relationship Id="rId73" Type="http://schemas.openxmlformats.org/officeDocument/2006/relationships/image" Target="media/image56.jpeg"/><Relationship Id="rId74" Type="http://schemas.openxmlformats.org/officeDocument/2006/relationships/image" Target="media/image57.jpeg"/><Relationship Id="rId75" Type="http://schemas.openxmlformats.org/officeDocument/2006/relationships/image" Target="media/image58.jpeg"/><Relationship Id="rId76" Type="http://schemas.openxmlformats.org/officeDocument/2006/relationships/image" Target="media/image59.jpeg"/><Relationship Id="rId77" Type="http://schemas.openxmlformats.org/officeDocument/2006/relationships/image" Target="media/image60.jpeg"/><Relationship Id="rId78" Type="http://schemas.openxmlformats.org/officeDocument/2006/relationships/image" Target="media/image61.jpeg"/><Relationship Id="rId79" Type="http://schemas.openxmlformats.org/officeDocument/2006/relationships/image" Target="media/image62.jpeg"/><Relationship Id="rId80" Type="http://schemas.openxmlformats.org/officeDocument/2006/relationships/image" Target="media/image63.jpeg"/><Relationship Id="rId81" Type="http://schemas.openxmlformats.org/officeDocument/2006/relationships/image" Target="media/image64.jpeg"/><Relationship Id="rId82" Type="http://schemas.openxmlformats.org/officeDocument/2006/relationships/image" Target="media/image65.jpeg"/><Relationship Id="rId83" Type="http://schemas.openxmlformats.org/officeDocument/2006/relationships/image" Target="media/image66.jpeg"/><Relationship Id="rId84" Type="http://schemas.openxmlformats.org/officeDocument/2006/relationships/image" Target="media/image67.jpeg"/><Relationship Id="rId85" Type="http://schemas.openxmlformats.org/officeDocument/2006/relationships/image" Target="media/image68.jpeg"/><Relationship Id="rId86" Type="http://schemas.openxmlformats.org/officeDocument/2006/relationships/image" Target="media/image69.jpeg"/><Relationship Id="rId87" Type="http://schemas.openxmlformats.org/officeDocument/2006/relationships/image" Target="media/image70.jpeg"/><Relationship Id="rId88" Type="http://schemas.openxmlformats.org/officeDocument/2006/relationships/image" Target="media/image71.jpeg"/><Relationship Id="rId89" Type="http://schemas.openxmlformats.org/officeDocument/2006/relationships/image" Target="media/image72.jpeg"/><Relationship Id="rId90" Type="http://schemas.openxmlformats.org/officeDocument/2006/relationships/image" Target="media/image73.jpeg"/><Relationship Id="rId91" Type="http://schemas.openxmlformats.org/officeDocument/2006/relationships/image" Target="media/image74.jpeg"/><Relationship Id="rId92" Type="http://schemas.openxmlformats.org/officeDocument/2006/relationships/image" Target="media/image75.jpeg"/><Relationship Id="rId93" Type="http://schemas.openxmlformats.org/officeDocument/2006/relationships/image" Target="media/image76.jpeg"/><Relationship Id="rId94" Type="http://schemas.openxmlformats.org/officeDocument/2006/relationships/image" Target="media/image77.jpeg"/><Relationship Id="rId95" Type="http://schemas.openxmlformats.org/officeDocument/2006/relationships/image" Target="media/image78.jpeg"/><Relationship Id="rId96" Type="http://schemas.openxmlformats.org/officeDocument/2006/relationships/image" Target="media/image79.jpeg"/><Relationship Id="rId97" Type="http://schemas.openxmlformats.org/officeDocument/2006/relationships/image" Target="media/image80.jpeg"/><Relationship Id="rId98" Type="http://schemas.openxmlformats.org/officeDocument/2006/relationships/image" Target="media/image81.jpeg"/><Relationship Id="rId99" Type="http://schemas.openxmlformats.org/officeDocument/2006/relationships/image" Target="media/image82.jpeg"/><Relationship Id="rId100" Type="http://schemas.openxmlformats.org/officeDocument/2006/relationships/image" Target="media/image83.jpeg"/><Relationship Id="rId101" Type="http://schemas.openxmlformats.org/officeDocument/2006/relationships/image" Target="media/image84.jpeg"/><Relationship Id="rId102" Type="http://schemas.openxmlformats.org/officeDocument/2006/relationships/image" Target="media/image85.jpeg"/><Relationship Id="rId103" Type="http://schemas.openxmlformats.org/officeDocument/2006/relationships/image" Target="media/image86.jpeg"/><Relationship Id="rId104" Type="http://schemas.openxmlformats.org/officeDocument/2006/relationships/image" Target="media/image87.jpeg"/><Relationship Id="rId105" Type="http://schemas.openxmlformats.org/officeDocument/2006/relationships/image" Target="media/image88.jpeg"/><Relationship Id="rId106" Type="http://schemas.openxmlformats.org/officeDocument/2006/relationships/image" Target="media/image89.jpeg"/><Relationship Id="rId107" Type="http://schemas.openxmlformats.org/officeDocument/2006/relationships/image" Target="media/image90.jpeg"/><Relationship Id="rId108" Type="http://schemas.openxmlformats.org/officeDocument/2006/relationships/image" Target="media/image91.jpeg"/><Relationship Id="rId109" Type="http://schemas.openxmlformats.org/officeDocument/2006/relationships/image" Target="media/image92.jpeg"/><Relationship Id="rId110" Type="http://schemas.openxmlformats.org/officeDocument/2006/relationships/image" Target="media/image93.jpeg"/><Relationship Id="rId111" Type="http://schemas.openxmlformats.org/officeDocument/2006/relationships/image" Target="media/image94.jpeg"/><Relationship Id="rId112" Type="http://schemas.openxmlformats.org/officeDocument/2006/relationships/image" Target="media/image95.jpeg"/><Relationship Id="rId113" Type="http://schemas.openxmlformats.org/officeDocument/2006/relationships/image" Target="media/image96.jpeg"/><Relationship Id="rId114" Type="http://schemas.openxmlformats.org/officeDocument/2006/relationships/image" Target="media/image97.jpeg"/><Relationship Id="rId115" Type="http://schemas.openxmlformats.org/officeDocument/2006/relationships/image" Target="media/image98.jpeg"/><Relationship Id="rId116" Type="http://schemas.openxmlformats.org/officeDocument/2006/relationships/image" Target="media/image99.jpeg"/><Relationship Id="rId117" Type="http://schemas.openxmlformats.org/officeDocument/2006/relationships/image" Target="media/image100.jpeg"/><Relationship Id="rId118" Type="http://schemas.openxmlformats.org/officeDocument/2006/relationships/image" Target="media/image101.jpeg"/><Relationship Id="rId119" Type="http://schemas.openxmlformats.org/officeDocument/2006/relationships/image" Target="media/image102.jpeg"/><Relationship Id="rId120" Type="http://schemas.openxmlformats.org/officeDocument/2006/relationships/image" Target="media/image103.jpeg"/><Relationship Id="rId121" Type="http://schemas.openxmlformats.org/officeDocument/2006/relationships/image" Target="media/image104.jpeg"/><Relationship Id="rId122" Type="http://schemas.openxmlformats.org/officeDocument/2006/relationships/image" Target="media/image105.jpeg"/><Relationship Id="rId123" Type="http://schemas.openxmlformats.org/officeDocument/2006/relationships/image" Target="media/image106.jpeg"/><Relationship Id="rId124" Type="http://schemas.openxmlformats.org/officeDocument/2006/relationships/image" Target="media/image107.jpeg"/><Relationship Id="rId125" Type="http://schemas.openxmlformats.org/officeDocument/2006/relationships/image" Target="media/image108.jpeg"/><Relationship Id="rId126" Type="http://schemas.openxmlformats.org/officeDocument/2006/relationships/image" Target="media/image109.jpeg"/><Relationship Id="rId127" Type="http://schemas.openxmlformats.org/officeDocument/2006/relationships/image" Target="media/image110.jpeg"/><Relationship Id="rId128" Type="http://schemas.openxmlformats.org/officeDocument/2006/relationships/image" Target="media/image111.jpeg"/><Relationship Id="rId129" Type="http://schemas.openxmlformats.org/officeDocument/2006/relationships/image" Target="media/image112.jpeg"/><Relationship Id="rId130" Type="http://schemas.openxmlformats.org/officeDocument/2006/relationships/image" Target="media/image113.jpeg"/><Relationship Id="rId131" Type="http://schemas.openxmlformats.org/officeDocument/2006/relationships/image" Target="media/image114.jpeg"/><Relationship Id="rId132" Type="http://schemas.openxmlformats.org/officeDocument/2006/relationships/image" Target="media/image115.jpeg"/><Relationship Id="rId133" Type="http://schemas.openxmlformats.org/officeDocument/2006/relationships/image" Target="media/image116.jpeg"/><Relationship Id="rId134" Type="http://schemas.openxmlformats.org/officeDocument/2006/relationships/image" Target="media/image117.jpeg"/><Relationship Id="rId135" Type="http://schemas.openxmlformats.org/officeDocument/2006/relationships/image" Target="media/image118.jpeg"/><Relationship Id="rId136" Type="http://schemas.openxmlformats.org/officeDocument/2006/relationships/image" Target="media/image119.jpeg"/><Relationship Id="rId137" Type="http://schemas.openxmlformats.org/officeDocument/2006/relationships/image" Target="media/image120.jpeg"/><Relationship Id="rId138" Type="http://schemas.openxmlformats.org/officeDocument/2006/relationships/image" Target="media/image121.jpeg"/><Relationship Id="rId139" Type="http://schemas.openxmlformats.org/officeDocument/2006/relationships/image" Target="media/image122.jpeg"/><Relationship Id="rId140" Type="http://schemas.openxmlformats.org/officeDocument/2006/relationships/image" Target="media/image123.jpeg"/><Relationship Id="rId141" Type="http://schemas.openxmlformats.org/officeDocument/2006/relationships/image" Target="media/image124.jpeg"/><Relationship Id="rId142" Type="http://schemas.openxmlformats.org/officeDocument/2006/relationships/image" Target="media/image125.jpeg"/><Relationship Id="rId143" Type="http://schemas.openxmlformats.org/officeDocument/2006/relationships/image" Target="media/image126.jpeg"/><Relationship Id="rId144" Type="http://schemas.openxmlformats.org/officeDocument/2006/relationships/image" Target="media/image127.jpeg"/><Relationship Id="rId145" Type="http://schemas.openxmlformats.org/officeDocument/2006/relationships/image" Target="media/image128.jpeg"/><Relationship Id="rId146" Type="http://schemas.openxmlformats.org/officeDocument/2006/relationships/image" Target="media/image129.jpeg"/><Relationship Id="rId147" Type="http://schemas.openxmlformats.org/officeDocument/2006/relationships/image" Target="media/image130.jpeg"/><Relationship Id="rId148" Type="http://schemas.openxmlformats.org/officeDocument/2006/relationships/image" Target="media/image131.jpeg"/><Relationship Id="rId149" Type="http://schemas.openxmlformats.org/officeDocument/2006/relationships/image" Target="media/image132.jpeg"/><Relationship Id="rId150" Type="http://schemas.openxmlformats.org/officeDocument/2006/relationships/image" Target="media/image133.jpeg"/><Relationship Id="rId151" Type="http://schemas.openxmlformats.org/officeDocument/2006/relationships/image" Target="media/image134.jpeg"/><Relationship Id="rId152" Type="http://schemas.openxmlformats.org/officeDocument/2006/relationships/image" Target="media/image135.jpeg"/><Relationship Id="rId153" Type="http://schemas.openxmlformats.org/officeDocument/2006/relationships/image" Target="media/image136.jpeg"/><Relationship Id="rId154" Type="http://schemas.openxmlformats.org/officeDocument/2006/relationships/image" Target="media/image137.jpeg"/><Relationship Id="rId155" Type="http://schemas.openxmlformats.org/officeDocument/2006/relationships/image" Target="media/image138.jpeg"/><Relationship Id="rId156" Type="http://schemas.openxmlformats.org/officeDocument/2006/relationships/image" Target="media/image139.jpeg"/><Relationship Id="rId157" Type="http://schemas.openxmlformats.org/officeDocument/2006/relationships/image" Target="media/image140.jpeg"/><Relationship Id="rId158" Type="http://schemas.openxmlformats.org/officeDocument/2006/relationships/image" Target="media/image141.jpeg"/><Relationship Id="rId159" Type="http://schemas.openxmlformats.org/officeDocument/2006/relationships/image" Target="media/image142.jpeg"/><Relationship Id="rId160" Type="http://schemas.openxmlformats.org/officeDocument/2006/relationships/image" Target="media/image143.jpeg"/><Relationship Id="rId161" Type="http://schemas.openxmlformats.org/officeDocument/2006/relationships/image" Target="media/image144.jpeg"/><Relationship Id="rId162" Type="http://schemas.openxmlformats.org/officeDocument/2006/relationships/image" Target="media/image145.jpeg"/><Relationship Id="rId163" Type="http://schemas.openxmlformats.org/officeDocument/2006/relationships/image" Target="media/image146.jpeg"/><Relationship Id="rId164" Type="http://schemas.openxmlformats.org/officeDocument/2006/relationships/image" Target="media/image147.jpeg"/><Relationship Id="rId165" Type="http://schemas.openxmlformats.org/officeDocument/2006/relationships/image" Target="media/image148.jpeg"/><Relationship Id="rId166" Type="http://schemas.openxmlformats.org/officeDocument/2006/relationships/image" Target="media/image149.jpeg"/><Relationship Id="rId167" Type="http://schemas.openxmlformats.org/officeDocument/2006/relationships/image" Target="media/image150.jpeg"/><Relationship Id="rId168" Type="http://schemas.openxmlformats.org/officeDocument/2006/relationships/image" Target="media/image151.jpeg"/><Relationship Id="rId169" Type="http://schemas.openxmlformats.org/officeDocument/2006/relationships/image" Target="media/image152.jpeg"/><Relationship Id="rId170" Type="http://schemas.openxmlformats.org/officeDocument/2006/relationships/image" Target="media/image153.jpeg"/><Relationship Id="rId171" Type="http://schemas.openxmlformats.org/officeDocument/2006/relationships/image" Target="media/image154.jpeg"/><Relationship Id="rId172" Type="http://schemas.openxmlformats.org/officeDocument/2006/relationships/image" Target="media/image155.jpeg"/><Relationship Id="rId173" Type="http://schemas.openxmlformats.org/officeDocument/2006/relationships/image" Target="media/image156.jpeg"/><Relationship Id="rId174" Type="http://schemas.openxmlformats.org/officeDocument/2006/relationships/image" Target="media/image157.jpeg"/><Relationship Id="rId175" Type="http://schemas.openxmlformats.org/officeDocument/2006/relationships/image" Target="media/image158.jpeg"/><Relationship Id="rId176" Type="http://schemas.openxmlformats.org/officeDocument/2006/relationships/image" Target="media/image159.jpeg"/><Relationship Id="rId177" Type="http://schemas.openxmlformats.org/officeDocument/2006/relationships/image" Target="media/image160.jpeg"/><Relationship Id="rId178" Type="http://schemas.openxmlformats.org/officeDocument/2006/relationships/header" Target="header1.xml"/><Relationship Id="rId179" Type="http://schemas.openxmlformats.org/officeDocument/2006/relationships/footer" Target="footer1.xml"/><Relationship Id="rId180" Type="http://schemas.openxmlformats.org/officeDocument/2006/relationships/numbering" Target="numbering.xml"/><Relationship Id="rId181" Type="http://schemas.openxmlformats.org/officeDocument/2006/relationships/fontTable" Target="fontTable.xml"/><Relationship Id="rId182" Type="http://schemas.openxmlformats.org/officeDocument/2006/relationships/settings" Target="settings.xml"/><Relationship Id="rId183" Type="http://schemas.openxmlformats.org/officeDocument/2006/relationships/theme" Target="theme/theme1.xml"/><Relationship Id="rId184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BE1586-21C0-47F4-8F77-30D2080B37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Application>LibreOffice/6.1.5.2$Linux_X86_64 LibreOffice_project/10$Build-2</Application>
  <Pages>61</Pages>
  <Words>10758</Words>
  <Characters>70915</Characters>
  <CharactersWithSpaces>80474</CharactersWithSpaces>
  <Paragraphs>2010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2023-02-13T07:29:00Z</dcterms:created>
  <dc:creator>Владимир</dc:creator>
  <dc:description/>
  <dc:language>ru-RU</dc:language>
  <cp:lastModifiedBy/>
  <cp:lastPrinted>2023-03-30T09:43:00Z</cp:lastPrinted>
  <dcterms:modified xsi:type="dcterms:W3CDTF">2023-07-12T10:41:25Z</dcterms:modified>
  <cp:revision>8</cp:revision>
  <dc:subject/>
  <dc:title>СК-ОЦЕНКА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