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69.jpeg" ContentType="image/jpeg"/>
  <Override PartName="/word/media/image68.jpeg" ContentType="image/jpeg"/>
  <Override PartName="/word/media/image67.jpeg" ContentType="image/jpeg"/>
  <Override PartName="/word/media/image66.jpeg" ContentType="image/jpeg"/>
  <Override PartName="/word/media/image65.jpeg" ContentType="image/jpeg"/>
  <Override PartName="/word/media/image64.jpeg" ContentType="image/jpeg"/>
  <Override PartName="/word/media/image63.jpeg" ContentType="image/jpeg"/>
  <Override PartName="/word/media/image50.jpeg" ContentType="image/jpeg"/>
  <Override PartName="/word/media/image62.jpeg" ContentType="image/jpeg"/>
  <Override PartName="/word/media/image49.jpeg" ContentType="image/jpeg"/>
  <Override PartName="/word/media/image61.jpeg" ContentType="image/jpeg"/>
  <Override PartName="/word/media/image48.jpeg" ContentType="image/jpeg"/>
  <Override PartName="/word/media/image60.jpeg" ContentType="image/jpeg"/>
  <Override PartName="/word/media/image47.jpeg" ContentType="image/jpeg"/>
  <Override PartName="/word/media/image72.jpeg" ContentType="image/jpeg"/>
  <Override PartName="/word/media/image59.jpeg" ContentType="image/jpeg"/>
  <Override PartName="/word/media/image16.jpeg" ContentType="image/jpeg"/>
  <Override PartName="/word/media/image46.jpeg" ContentType="image/jpeg"/>
  <Override PartName="/word/media/image71.jpeg" ContentType="image/jpeg"/>
  <Override PartName="/word/media/image58.jpeg" ContentType="image/jpeg"/>
  <Override PartName="/word/media/image15.jpeg" ContentType="image/jpeg"/>
  <Override PartName="/word/media/image45.jpeg" ContentType="image/jpeg"/>
  <Override PartName="/word/media/image70.jpeg" ContentType="image/jpeg"/>
  <Override PartName="/word/media/image57.jpeg" ContentType="image/jpeg"/>
  <Override PartName="/word/media/image14.jpeg" ContentType="image/jpeg"/>
  <Override PartName="/word/media/image44.jpeg" ContentType="image/jpeg"/>
  <Override PartName="/word/media/image56.jpeg" ContentType="image/jpeg"/>
  <Override PartName="/word/media/image13.jpeg" ContentType="image/jpeg"/>
  <Override PartName="/word/media/image43.jpeg" ContentType="image/jpeg"/>
  <Override PartName="/word/media/image55.jpeg" ContentType="image/jpeg"/>
  <Override PartName="/word/media/image12.jpeg" ContentType="image/jpeg"/>
  <Override PartName="/word/media/image42.jpeg" ContentType="image/jpeg"/>
  <Override PartName="/word/media/image54.jpeg" ContentType="image/jpeg"/>
  <Override PartName="/word/media/image11.jpeg" ContentType="image/jpeg"/>
  <Override PartName="/word/media/image20.jpeg" ContentType="image/jpeg"/>
  <Override PartName="/word/media/image36.jpeg" ContentType="image/jpeg"/>
  <Override PartName="/word/media/image4.jpeg" ContentType="image/jpeg"/>
  <Override PartName="/word/media/image21.jpeg" ContentType="image/jpeg"/>
  <Override PartName="/word/media/image37.jpeg" ContentType="image/jpeg"/>
  <Override PartName="/word/media/image5.jpeg" ContentType="image/jpeg"/>
  <Override PartName="/word/media/image22.jpeg" ContentType="image/jpeg"/>
  <Override PartName="/word/media/image6.jpeg" ContentType="image/jpeg"/>
  <Override PartName="/word/media/image53.jpeg" ContentType="image/jpeg"/>
  <Override PartName="/word/media/image10.jpeg" ContentType="image/jpeg"/>
  <Override PartName="/word/media/image3.jpeg" ContentType="image/jpeg"/>
  <Override PartName="/word/media/image35.jpeg" ContentType="image/jpeg"/>
  <Override PartName="/word/media/image7.jpeg" ContentType="image/jpeg"/>
  <Override PartName="/word/media/image23.jpeg" ContentType="image/jpeg"/>
  <Override PartName="/word/media/image8.jpeg" ContentType="image/jpeg"/>
  <Override PartName="/word/media/image24.jpeg" ContentType="image/jpeg"/>
  <Override PartName="/word/media/image9.jpeg" ContentType="image/jpeg"/>
  <Override PartName="/word/media/image25.jpeg" ContentType="image/jpeg"/>
  <Override PartName="/word/media/image26.jpeg" ContentType="image/jpeg"/>
  <Override PartName="/word/media/image40.jpeg" ContentType="image/jpeg"/>
  <Override PartName="/word/media/image27.jpeg" ContentType="image/jpeg"/>
  <Override PartName="/word/media/image41.jpeg" ContentType="image/jpeg"/>
  <Override PartName="/word/media/image28.jpeg" ContentType="image/jpeg"/>
  <Override PartName="/word/media/image29.jpeg" ContentType="image/jpeg"/>
  <Override PartName="/word/media/image73.jpeg" ContentType="image/jpeg"/>
  <Override PartName="/word/media/image17.jpeg" ContentType="image/jpeg"/>
  <Override PartName="/word/media/image30.jpeg" ContentType="image/jpeg"/>
  <Override PartName="/word/media/image74.jpeg" ContentType="image/jpeg"/>
  <Override PartName="/word/media/image18.jpeg" ContentType="image/jpeg"/>
  <Override PartName="/word/media/image31.jpeg" ContentType="image/jpeg"/>
  <Override PartName="/word/media/image19.jpeg" ContentType="image/jpeg"/>
  <Override PartName="/word/media/image32.jpeg" ContentType="image/jpeg"/>
  <Override PartName="/word/media/image1.jpeg" ContentType="image/jpeg"/>
  <Override PartName="/word/media/image33.jpeg" ContentType="image/jpeg"/>
  <Override PartName="/word/media/image2.jpeg" ContentType="image/jpeg"/>
  <Override PartName="/word/media/image34.jpeg" ContentType="image/jpeg"/>
  <Override PartName="/word/media/image51.jpeg" ContentType="image/jpeg"/>
  <Override PartName="/word/media/image38.jpeg" ContentType="image/jpeg"/>
  <Override PartName="/word/media/image52.jpeg" ContentType="image/jpeg"/>
  <Override PartName="/word/media/image39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right="567" w:hanging="1134"/>
        <w:jc w:val="center"/>
        <w:rPr/>
      </w:pPr>
      <w:r>
        <w:rPr>
          <w:bCs/>
          <w:sz w:val="20"/>
          <w:szCs w:val="20"/>
        </w:rPr>
        <w:t xml:space="preserve">                   </w:t>
      </w: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 xml:space="preserve">Адрес: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Юридический_адрес_оценщикаконтрактора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 xml:space="preserve">РФ, 115280, г. Москва, ул. Ленинская Слобода, д.19, эт. 6/3К, комн. 3Л 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r>
        <w:rPr>
          <w:bCs/>
          <w:sz w:val="20"/>
          <w:szCs w:val="20"/>
          <w:lang w:val="en-US"/>
        </w:rPr>
        <w:t>euro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otsenka</w:t>
      </w:r>
      <w:r>
        <w:rPr>
          <w:bCs/>
          <w:sz w:val="20"/>
          <w:szCs w:val="20"/>
        </w:rPr>
        <w:t>@</w:t>
      </w:r>
      <w:r>
        <w:rPr>
          <w:bCs/>
          <w:sz w:val="20"/>
          <w:szCs w:val="20"/>
          <w:lang w:val="en-US"/>
        </w:rPr>
        <w:t>gmail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com</w:t>
      </w:r>
    </w:p>
    <w:p>
      <w:pPr>
        <w:pStyle w:val="Normal"/>
        <w:pBdr/>
        <w:ind w:left="-851" w:hanging="283"/>
        <w:rPr/>
        <w:framePr w:w="23" w:h="2517" w:x="5163" w:y="235" w:wrap="auto" w:vAnchor="page" w:hAnchor="margin" w:hRule="exact"/>
      </w:pPr>
      <w:bookmarkStart w:id="0" w:name="_Hlk27803941"/>
      <w:r>
        <w:rPr/>
        <w:t xml:space="preserve">                    </w:t>
      </w:r>
      <w:bookmarkEnd w:id="0"/>
      <w:r>
        <w:rPr/>
        <w:drawing>
          <wp:inline distT="0" distB="0" distL="0" distR="5080">
            <wp:extent cx="6109970" cy="1276350"/>
            <wp:effectExtent l="0" t="0" r="0" b="0"/>
            <wp:docPr id="1" name="Рисунок 20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0" descr="Itog11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pBdr/>
        <w:jc w:val="center"/>
        <w:rPr>
          <w:bCs/>
          <w:sz w:val="20"/>
          <w:szCs w:val="20"/>
        </w:rPr>
        <w:framePr w:w="23" w:h="2517" w:x="5163" w:y="235" w:wrap="auto" w:vAnchor="page" w:hAnchor="margin" w:hRule="exact"/>
      </w:pPr>
      <w:r>
        <w:rPr>
          <w:bCs/>
          <w:sz w:val="20"/>
          <w:szCs w:val="20"/>
        </w:rPr>
      </w:r>
    </w:p>
    <w:p>
      <w:pPr>
        <w:pStyle w:val="Normal"/>
        <w:jc w:val="right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jc w:val="right"/>
        <w:rPr/>
      </w:pPr>
      <w:r>
        <w:rPr/>
        <w:t>Утверждаю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>
          <w:bCs/>
        </w:rPr>
        <w:t xml:space="preserve">Генеральный </w:t>
      </w:r>
      <w:r>
        <w:rPr>
          <w:bCs/>
          <w:lang w:val="en-US"/>
        </w:rPr>
        <w:fldChar w:fldCharType="begin"/>
      </w:r>
      <w:r>
        <w:rPr>
          <w:bCs/>
        </w:rPr>
        <w:instrText> MERGEFIELD Должность_лица_утверждающего_отчет </w:instrText>
      </w:r>
      <w:r>
        <w:rPr>
          <w:bCs/>
        </w:rPr>
        <w:fldChar w:fldCharType="separate"/>
      </w:r>
      <w:r>
        <w:rPr>
          <w:bCs/>
        </w:rPr>
        <w:t>Директор</w:t>
      </w:r>
      <w:r>
        <w:rPr>
          <w:bCs/>
        </w:rPr>
        <w:fldChar w:fldCharType="end"/>
      </w:r>
      <w:r>
        <w:rPr>
          <w:bCs/>
        </w:rPr>
        <w:br/>
        <w:t xml:space="preserve"> </w:t>
      </w:r>
    </w:p>
    <w:p>
      <w:pPr>
        <w:pStyle w:val="Normal"/>
        <w:jc w:val="right"/>
        <w:rPr>
          <w:bCs/>
        </w:rPr>
      </w:pPr>
      <w:r>
        <w:rPr>
          <w:bCs/>
        </w:rPr>
        <w:t xml:space="preserve">_____________________________ </w:t>
      </w:r>
    </w:p>
    <w:p>
      <w:pPr>
        <w:pStyle w:val="Normal"/>
        <w:jc w:val="right"/>
        <w:rPr/>
      </w:pPr>
      <w:r>
        <w:rPr>
          <w:bCs/>
        </w:rPr>
        <w:t>м.п.</w:t>
        <w:tab/>
        <w:t>Попов Иван Владимирович</w:t>
      </w:r>
      <w:r>
        <w:rPr>
          <w:bCs/>
          <w:lang w:val="en-US"/>
        </w:rPr>
        <w:fldChar w:fldCharType="begin"/>
      </w:r>
      <w:r>
        <w:rPr>
          <w:bCs/>
        </w:rPr>
        <w:instrText> MERGEFIELD Фамилия_И_О_лица_утверждающего_отчет </w:instrText>
      </w:r>
      <w:r>
        <w:rPr>
          <w:bCs/>
        </w:rPr>
        <w:fldChar w:fldCharType="separate"/>
      </w:r>
      <w:r>
        <w:rPr>
          <w:bCs/>
        </w:rPr>
      </w:r>
      <w:r>
        <w:rPr>
          <w:bCs/>
        </w:rPr>
        <w:fldChar w:fldCharType="end"/>
      </w:r>
    </w:p>
    <w:p>
      <w:pPr>
        <w:pStyle w:val="Normal"/>
        <w:jc w:val="right"/>
        <w:rPr/>
      </w:pPr>
      <w:r>
        <w:rPr/>
        <w:t>«__» _______________2023 г.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/>
          <w:b/>
          <w:sz w:val="36"/>
          <w:szCs w:val="36"/>
        </w:rPr>
      </w:pPr>
      <w:bookmarkStart w:id="1" w:name="__DdeLink__4436_2338984601"/>
      <w:r>
        <w:rPr>
          <w:b/>
          <w:sz w:val="36"/>
          <w:szCs w:val="36"/>
        </w:rPr>
        <w:t xml:space="preserve">ЗАКЛЮЧЕНИЕ № </w:t>
      </w:r>
      <w:r>
        <w:rPr>
          <w:b/>
          <w:bCs/>
          <w:color w:val="000000"/>
          <w:sz w:val="36"/>
          <w:szCs w:val="36"/>
        </w:rPr>
        <w:t>5916-0423</w:t>
      </w:r>
      <w:bookmarkEnd w:id="1"/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независимой технической экспертизы</w:t>
      </w:r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об определении стоимости причиненного ущерба</w:t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Cs/>
          <w:sz w:val="36"/>
          <w:szCs w:val="36"/>
        </w:rPr>
      </w:pPr>
      <w:r>
        <w:rPr>
          <w:b/>
          <w:sz w:val="36"/>
          <w:szCs w:val="36"/>
        </w:rPr>
        <w:t>транспортного средства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Марка ТС:</w:t>
      </w:r>
      <w:r>
        <w:rPr/>
        <w:t xml:space="preserve"> BMW X6 xDrive30d</w:t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Рег.  номер: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Заказчик: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Дата составления заключения:</w:t>
      </w:r>
      <w:r>
        <w:rPr/>
        <w:t xml:space="preserve"> </w:t>
      </w:r>
      <w:r>
        <w:rPr>
          <w:bCs/>
        </w:rPr>
        <w:t>30 апреля 2023г.</w:t>
      </w:r>
    </w:p>
    <w:p>
      <w:pPr>
        <w:pStyle w:val="Normal"/>
        <w:rPr/>
      </w:pPr>
      <w:r>
        <w:rPr>
          <w:b/>
          <w:iCs/>
        </w:rPr>
        <w:t xml:space="preserve">                                      </w:t>
      </w:r>
    </w:p>
    <w:p>
      <w:pPr>
        <w:pStyle w:val="Normal"/>
        <w:ind w:left="1260" w:right="1260" w:hanging="0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jc w:val="center"/>
        <w:rPr>
          <w:b/>
          <w:b/>
          <w:iCs/>
          <w:szCs w:val="22"/>
        </w:rPr>
      </w:pPr>
      <w:r>
        <w:rPr>
          <w:b/>
          <w:iCs/>
          <w:szCs w:val="22"/>
        </w:rPr>
        <w:t>Москва, 2023г.</w:t>
      </w:r>
    </w:p>
    <w:p>
      <w:pPr>
        <w:pStyle w:val="Normal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ИСХОДНАЯ ИНФОРМАЦИЯ</w:t>
      </w:r>
    </w:p>
    <w:p>
      <w:pPr>
        <w:pStyle w:val="Normal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rFonts w:ascii="Calibri" w:hAnsi="Calibri" w:cs="Arial CYR"/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>Экспертная организация: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1</w:t>
      </w:r>
    </w:p>
    <w:tbl>
      <w:tblPr>
        <w:tblW w:w="49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2333"/>
        <w:gridCol w:w="7807"/>
      </w:tblGrid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организации: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both"/>
              <w:rPr>
                <w:b/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ООО «Европейский Центр Оценки»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ОГРН: 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1127747107553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ИНН/КПП: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7709915321/772501001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Юридический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115280, г. Москва, ул. Ленинская Слобода, д.19, эт. 6/3К, комн. 3Л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г.Москва, ул. Угрешская д.2 (Бизнес квартал «IQ-Park»), стр.53, эт.2, офис 221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E</w:t>
            </w:r>
            <w:r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  <w:lang w:val="en-US"/>
              </w:rPr>
              <w:t>mail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>
                <w:lang w:val="en-US"/>
              </w:rPr>
              <w:t>euro</w:t>
            </w:r>
            <w:r>
              <w:rPr/>
              <w:t>.</w:t>
            </w:r>
            <w:r>
              <w:rPr>
                <w:lang w:val="en-US"/>
              </w:rPr>
              <w:t>otsenka</w:t>
            </w:r>
            <w:r>
              <w:rPr/>
              <w:t>@</w:t>
            </w:r>
            <w:r>
              <w:rPr>
                <w:lang w:val="en-US"/>
              </w:rPr>
              <w:t>gmail</w:t>
            </w:r>
            <w:r>
              <w:rPr/>
              <w:t>.</w:t>
            </w:r>
            <w:r>
              <w:rPr>
                <w:lang w:val="en-US"/>
              </w:rPr>
              <w:t>com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Телефон: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/>
              <w:t>+7 (495) 795 16 50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Расчетный счет: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>
                <w:bCs/>
              </w:rPr>
            </w:pPr>
            <w:r>
              <w:rPr/>
              <w:t>40702810338120007911</w:t>
            </w:r>
          </w:p>
        </w:tc>
      </w:tr>
    </w:tbl>
    <w:p>
      <w:pPr>
        <w:pStyle w:val="Normal"/>
        <w:rPr>
          <w:rFonts w:cs="Arial CYR"/>
          <w:b/>
          <w:b/>
          <w:bCs/>
        </w:rPr>
      </w:pPr>
      <w:r>
        <w:rPr>
          <w:rFonts w:cs="Arial CYR"/>
          <w:b/>
          <w:bCs/>
        </w:rPr>
      </w:r>
    </w:p>
    <w:p>
      <w:pPr>
        <w:pStyle w:val="Normal"/>
        <w:jc w:val="center"/>
        <w:rPr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 xml:space="preserve">Сведения </w:t>
      </w:r>
      <w:r>
        <w:rPr>
          <w:b/>
          <w:bCs/>
          <w:u w:val="single"/>
        </w:rPr>
        <w:t>о специалистах: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2</w:t>
      </w:r>
    </w:p>
    <w:tbl>
      <w:tblPr>
        <w:tblW w:w="1020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651"/>
        <w:gridCol w:w="6549"/>
      </w:tblGrid>
      <w:tr>
        <w:trPr/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</w:rPr>
              <w:t>Фамилия, Имя, Отчество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tLeast" w:line="240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Григорьев Максим Алексеевич</w:t>
            </w:r>
          </w:p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Номер документа, подтверждающего получение профессиональных знаний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76"/>
              <w:jc w:val="both"/>
              <w:rPr>
                <w:lang w:eastAsia="en-US"/>
              </w:rPr>
            </w:pPr>
            <w:r>
              <w:rPr>
                <w:lang w:eastAsia="en-US"/>
              </w:rPr>
              <w:t>Диплом о профессиональной переподготовке «Московский государственный машиностроительный университет (МАМИ)» по программе «Профессиональная переподготовка экспертов-техников» №2796 от 28 августа 2014 года.</w:t>
            </w:r>
          </w:p>
          <w:p>
            <w:pPr>
              <w:pStyle w:val="Normal"/>
              <w:jc w:val="both"/>
              <w:rPr/>
            </w:pPr>
            <w:r>
              <w:rPr>
                <w:lang w:eastAsia="en-US"/>
              </w:rPr>
              <w:t>Согласно протоколу №3 от 20.05.2016 года, Григорьев Максим Алексеевич, включен в реестр экспертов-техников при Минюсте РФ №5555</w:t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Стаж работы</w:t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 2014 года</w:t>
            </w:r>
          </w:p>
        </w:tc>
      </w:tr>
    </w:tbl>
    <w:p>
      <w:pPr>
        <w:pStyle w:val="Normal"/>
        <w:rPr/>
      </w:pPr>
      <w:r>
        <w:rPr/>
      </w:r>
    </w:p>
    <w:p>
      <w:pPr>
        <w:pStyle w:val="Style26"/>
        <w:tabs>
          <w:tab w:val="clear" w:pos="708"/>
          <w:tab w:val="left" w:pos="10065" w:leader="none"/>
        </w:tabs>
        <w:spacing w:before="120" w:after="0"/>
        <w:ind w:right="142" w:firstLine="357"/>
        <w:jc w:val="both"/>
        <w:rPr/>
      </w:pPr>
      <w:r>
        <w:rPr>
          <w:sz w:val="24"/>
          <w:szCs w:val="24"/>
        </w:rPr>
        <w:t>Составлено на основании: Договор №</w:t>
      </w:r>
      <w:r>
        <w:rPr>
          <w:bCs/>
          <w:color w:val="000000" w:themeColor="text1"/>
          <w:sz w:val="24"/>
          <w:szCs w:val="24"/>
        </w:rPr>
        <w:t>5916-0423</w:t>
      </w:r>
      <w:r>
        <w:rPr>
          <w:sz w:val="24"/>
          <w:szCs w:val="24"/>
        </w:rPr>
        <w:t xml:space="preserve"> от </w:t>
      </w:r>
      <w:r>
        <w:rPr>
          <w:color w:val="000000"/>
          <w:sz w:val="24"/>
          <w:szCs w:val="24"/>
        </w:rPr>
        <w:t>24 апреля 2023г.</w:t>
      </w:r>
      <w:r>
        <w:rPr>
          <w:sz w:val="24"/>
          <w:szCs w:val="24"/>
        </w:rPr>
        <w:t xml:space="preserve"> на оказание услуг по проведению независимой технической экспертизы транспортного средства (далее ТС). Заказчик экспертизы: </w:t>
      </w:r>
      <w:r>
        <w:rPr>
          <w:bCs/>
          <w:color w:val="000000"/>
          <w:sz w:val="24"/>
          <w:szCs w:val="24"/>
        </w:rPr>
        <w:t>********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Style26"/>
        <w:spacing w:before="120" w:after="0"/>
        <w:ind w:firstLine="357"/>
        <w:jc w:val="center"/>
        <w:rPr>
          <w:b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Нормативное, методическое и другое обеспечение, использованное при проведении экспертизы.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</w:r>
    </w:p>
    <w:p>
      <w:pPr>
        <w:pStyle w:val="ConsPlus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Постановление Правительства РФ от 17 октября 2014 г. N 1065 "Об определении уполномоченных федеральных органов исполнительной власти, устанавливающих требования к экспертам техникам, в том числе требования к из профессиональной аттестации, основания ее аннулирования, а также порядок ведения государственного реестра экспертов-техников"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>
          <w:color w:val="000000"/>
        </w:rPr>
        <w:t xml:space="preserve"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/>
        <w:t>ФБУ РФЦСЭ при Ми</w:t>
        <w:softHyphen/>
        <w:t>нюсте России, 2018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«Методическое руководство по определению стоимости автотранспортных средств с учетом естественного износа и технического состояния» РД 37.009.015-98 восьмое издание, ООО «Прайс-Н», Москва, 2010г.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«Приемка, ремонт и выпуск из ремонта кузовов легковых автомобилей", РД 37.009.024-92, Москва, АО «Автосельхозмаш-холдинг», 1992 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Сертифицированный программный продукт для расчета стоимости восстановления ТС отечественного или импортного производства –   ПС- Комплекс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 xml:space="preserve">Сертифицированный программный продукт для расчета стоимости восстановления ТС отечественного или импортного производства – Audapad </w:t>
      </w:r>
      <w:r>
        <w:rPr>
          <w:lang w:val="en-US"/>
        </w:rPr>
        <w:t>WEB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Материалы тематических веб-сайтов сети Интернет.</w:t>
      </w:r>
    </w:p>
    <w:p>
      <w:pPr>
        <w:pStyle w:val="Normal"/>
        <w:spacing w:before="120" w:after="0"/>
        <w:ind w:right="142" w:hanging="0"/>
        <w:jc w:val="center"/>
        <w:rPr>
          <w:u w:val="single"/>
        </w:rPr>
      </w:pPr>
      <w:r>
        <w:rPr>
          <w:u w:val="single"/>
        </w:rPr>
      </w:r>
    </w:p>
    <w:p>
      <w:pPr>
        <w:pStyle w:val="111"/>
        <w:shd w:val="clear" w:color="auto" w:fill="auto"/>
        <w:spacing w:lineRule="auto" w:line="264"/>
        <w:ind w:right="142" w:firstLine="320"/>
        <w:jc w:val="center"/>
        <w:rPr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Ограничения по применению исходных данных и предположения, в пределах которых проводилась экспертиза.</w:t>
      </w:r>
    </w:p>
    <w:p>
      <w:pPr>
        <w:pStyle w:val="Normal"/>
        <w:spacing w:before="120" w:after="0"/>
        <w:ind w:right="142" w:hanging="0"/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Выводы настоящего исследования достоверны при соблюдении следую</w:t>
        <w:softHyphen/>
        <w:t>щих условий: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Идентификационный номер КТС, содержащий информацию, необходимую для идентификации КТС, а также данные, содержащиеся в документах о КТС, являются достоверными (определение подлинности номеров и технических документов является прерогативой кри</w:t>
        <w:softHyphen/>
        <w:t>миналистической экспертизы).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Исходные данные о механизме происшествия и полученных поврежде</w:t>
        <w:softHyphen/>
        <w:t>ниях, отраженные в материалах, используемых в настоящем заключе</w:t>
        <w:softHyphen/>
        <w:t>нии, являются объективными.</w:t>
      </w:r>
    </w:p>
    <w:p>
      <w:pPr>
        <w:pStyle w:val="ListParagraph"/>
        <w:numPr>
          <w:ilvl w:val="0"/>
          <w:numId w:val="5"/>
        </w:numPr>
        <w:spacing w:before="60" w:after="0"/>
        <w:ind w:left="142" w:hanging="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Стоимость причиненного ущерба определяется в соответствии с Методическими рекомендациями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ФБУ РФЦСЭ при Ми</w:t>
        <w:softHyphen/>
        <w:t>нюсте России, 2018 и с поставленными, перед экспертом, вопросом.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>4.   На момент происшествия КТС было комплектно, на нем отсутствовали замененные или поврежденные составные части, влияющие на результат ис</w:t>
        <w:softHyphen/>
        <w:t>следования (в предоставленных для исследования документах информация, позволяющая судить об обратном, отсутствует).</w:t>
      </w:r>
    </w:p>
    <w:p>
      <w:pPr>
        <w:pStyle w:val="Normal"/>
        <w:spacing w:before="60" w:after="0"/>
        <w:ind w:left="142" w:hanging="0"/>
        <w:jc w:val="both"/>
        <w:rPr/>
      </w:pPr>
      <w:r>
        <w:rPr/>
        <w:t xml:space="preserve">5.   </w:t>
      </w:r>
      <w:r>
        <w:rPr>
          <w:u w:val="single"/>
        </w:rPr>
        <w:t>Стоимость реального ущерба проводится на дату повреждения(оценки) (в соот</w:t>
        <w:softHyphen/>
        <w:t xml:space="preserve">ветствии с пунктом 1.4; 7.2; 9.1 Методическими рекомендациями </w:t>
      </w:r>
      <w:r>
        <w:rPr>
          <w:color w:val="000000"/>
          <w:u w:val="single"/>
        </w:rPr>
        <w:t xml:space="preserve">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>
          <w:u w:val="single"/>
        </w:rPr>
        <w:t>ФБУ РФЦСЭ при Ми</w:t>
        <w:softHyphen/>
        <w:t>нюсте России, 2018).</w:t>
      </w:r>
    </w:p>
    <w:p>
      <w:pPr>
        <w:pStyle w:val="Normal"/>
        <w:spacing w:before="60" w:after="0"/>
        <w:ind w:left="142" w:firstLine="425"/>
        <w:jc w:val="both"/>
        <w:rPr/>
      </w:pPr>
      <w:r>
        <w:rPr/>
        <w:t>При иных условиях выводы настоящего заключения могут измениться.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before="120" w:after="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Перечень документов, рассмотренных в процессе экспертизы: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 xml:space="preserve">Свидетельство о регистрации ТС </w:t>
      </w:r>
      <w:r>
        <w:rPr>
          <w:color w:val="000000"/>
        </w:rPr>
        <w:t>********</w:t>
      </w:r>
    </w:p>
    <w:p>
      <w:pPr>
        <w:pStyle w:val="Normal"/>
        <w:spacing w:lineRule="auto" w:line="360"/>
        <w:jc w:val="right"/>
        <w:rPr/>
      </w:pPr>
      <w:r>
        <w:rPr/>
      </w:r>
    </w:p>
    <w:p>
      <w:pPr>
        <w:pStyle w:val="Normal"/>
        <w:spacing w:before="120" w:after="12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Сведения об объекте экспертизы – транспортном средстве и документах, представленных для производства экспертного исследования</w:t>
      </w:r>
    </w:p>
    <w:p>
      <w:pPr>
        <w:pStyle w:val="Normal"/>
        <w:spacing w:lineRule="auto" w:line="360"/>
        <w:jc w:val="right"/>
        <w:rPr>
          <w:bCs/>
        </w:rPr>
      </w:pPr>
      <w:r>
        <w:rPr>
          <w:bCs/>
        </w:rPr>
        <w:t>Таблица 3</w:t>
      </w:r>
    </w:p>
    <w:tbl>
      <w:tblPr>
        <w:tblW w:w="10449" w:type="dxa"/>
        <w:jc w:val="left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34"/>
        <w:gridCol w:w="5514"/>
      </w:tblGrid>
      <w:tr>
        <w:trPr>
          <w:trHeight w:val="33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bCs/>
              </w:rPr>
            </w:pPr>
            <w:r>
              <w:rPr>
                <w:bCs/>
              </w:rPr>
              <w:t>Наименование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Cs/>
                <w:color w:val="FF0000"/>
              </w:rPr>
            </w:pPr>
            <w:bookmarkStart w:id="2" w:name="_Hlk18400953"/>
            <w:r>
              <w:rPr>
                <w:lang w:val="en-US"/>
              </w:rPr>
              <w:t>BMW X6 xDrive30d</w:t>
            </w:r>
            <w:bookmarkEnd w:id="2"/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Категория транспортного средства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B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Регистрационный знак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Идентификационный номер (VIN)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/>
            </w:pPr>
            <w:r>
              <w:rPr>
                <w:color w:val="000000"/>
                <w:lang w:val="en-US"/>
              </w:rPr>
              <w:t>********</w:t>
            </w:r>
            <w:r>
              <w:rPr>
                <w:color w:val="000000" w:themeColor="text1"/>
              </w:rPr>
              <w:t xml:space="preserve"> 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Год выпуска (дата выпуска)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2015г. (18.10.2015г.*)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Кузов №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Цвет кузова (кабины)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Коричневый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 xml:space="preserve">Мощность двигателя л.с,  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/>
              <w:t>249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Пробег, км.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85506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both"/>
              <w:rPr/>
            </w:pPr>
            <w:r>
              <w:rPr/>
              <w:t>Дата происшествия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center"/>
              <w:rPr/>
            </w:pPr>
            <w:r>
              <w:rPr/>
              <w:t>06 апреля 2023г.</w:t>
            </w:r>
          </w:p>
        </w:tc>
      </w:tr>
    </w:tbl>
    <w:p>
      <w:pPr>
        <w:pStyle w:val="Normal"/>
        <w:spacing w:before="120" w:after="0"/>
        <w:ind w:firstLine="709"/>
        <w:jc w:val="both"/>
        <w:rPr/>
      </w:pPr>
      <w:r>
        <w:rPr/>
      </w:r>
    </w:p>
    <w:p>
      <w:pPr>
        <w:pStyle w:val="Normal"/>
        <w:spacing w:before="120" w:after="0"/>
        <w:ind w:firstLine="709"/>
        <w:jc w:val="both"/>
        <w:rPr/>
      </w:pPr>
      <w:r>
        <w:rPr/>
      </w:r>
    </w:p>
    <w:p>
      <w:pPr>
        <w:pStyle w:val="Normal"/>
        <w:spacing w:before="120" w:after="0"/>
        <w:ind w:firstLine="709"/>
        <w:jc w:val="both"/>
        <w:rPr/>
      </w:pPr>
      <w:r>
        <w:rPr/>
        <w:t>Точное описание объекта исследования, сведения об иных фактических данных, рассмотренных в процессе экспертизы, представлены в Акте осмотра от 24 апреля 2023г. (Приложение №1).</w:t>
      </w:r>
    </w:p>
    <w:p>
      <w:pPr>
        <w:pStyle w:val="Normal"/>
        <w:spacing w:before="120" w:after="0"/>
        <w:ind w:firstLine="708"/>
        <w:rPr/>
      </w:pPr>
      <w:r>
        <w:rPr/>
        <w:t xml:space="preserve">Исследование провел эксперт-техник – </w:t>
      </w:r>
      <w:r>
        <w:rPr>
          <w:b/>
          <w:bCs/>
        </w:rPr>
        <w:t xml:space="preserve"> Григорьев М.А.</w:t>
      </w:r>
    </w:p>
    <w:p>
      <w:pPr>
        <w:pStyle w:val="Normal"/>
        <w:spacing w:lineRule="auto" w:line="360" w:before="120" w:after="0"/>
        <w:jc w:val="center"/>
        <w:rPr>
          <w:u w:val="single"/>
        </w:rPr>
      </w:pPr>
      <w:r>
        <w:rPr>
          <w:u w:val="single"/>
        </w:rPr>
        <w:t>НА РАЗРЕШЕНИЕ ПОСТАВЛЕНЫ СЛЕДУЮЩИЕ ВОПРОСЫ:</w:t>
      </w:r>
    </w:p>
    <w:p>
      <w:pPr>
        <w:pStyle w:val="Normal"/>
        <w:numPr>
          <w:ilvl w:val="0"/>
          <w:numId w:val="3"/>
        </w:numPr>
        <w:tabs>
          <w:tab w:val="clear" w:pos="708"/>
          <w:tab w:val="left" w:pos="360" w:leader="none"/>
        </w:tabs>
        <w:spacing w:before="120" w:after="0"/>
        <w:ind w:left="0" w:firstLine="567"/>
        <w:jc w:val="both"/>
        <w:rPr/>
      </w:pPr>
      <w:r>
        <w:rPr/>
        <w:t xml:space="preserve">Определить стоимость причиненного ущерба транспортного средства BMW X6 xDrive30d, регистрационный знак </w:t>
      </w:r>
      <w:r>
        <w:rPr>
          <w:color w:val="000000"/>
        </w:rPr>
        <w:t>********</w:t>
      </w:r>
      <w:r>
        <w:rPr/>
        <w:t xml:space="preserve"> по среднерыночным ценам.</w:t>
      </w:r>
    </w:p>
    <w:p>
      <w:pPr>
        <w:pStyle w:val="Normal"/>
        <w:spacing w:before="240" w:after="0"/>
        <w:jc w:val="center"/>
        <w:rPr>
          <w:u w:val="single"/>
        </w:rPr>
      </w:pPr>
      <w:r>
        <w:rPr>
          <w:u w:val="single"/>
        </w:rPr>
        <w:t>ИССЛЕДОВАНИЕ ПО ПОСТАВЛЕННЫМ НА РАЗРЕШЕНИЕ ЭКСПЕРТИЗЫ ВОПРОСАМ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11"/>
        <w:shd w:val="clear" w:color="auto" w:fill="auto"/>
        <w:spacing w:lineRule="auto" w:line="252" w:before="0" w:after="40"/>
        <w:rPr>
          <w:b/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В соответствии с пунктом 7.2 Методических рекомендаций, с технической точки зрения размер ущерба,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171825" cy="609600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1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 xml:space="preserve"> - стоимость восстановительного ремонта КТС на дату оценки, руб;</w:t>
      </w:r>
    </w:p>
    <w:p>
      <w:pPr>
        <w:pStyle w:val="111"/>
        <w:shd w:val="clear" w:color="auto" w:fill="auto"/>
        <w:spacing w:lineRule="auto" w:line="261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утс</w:t>
      </w:r>
      <w:r>
        <w:rPr>
          <w:sz w:val="24"/>
          <w:szCs w:val="24"/>
        </w:rPr>
        <w:t xml:space="preserve"> - величина УТС на дату оценки, руб.</w:t>
      </w:r>
    </w:p>
    <w:p>
      <w:pPr>
        <w:pStyle w:val="111"/>
        <w:shd w:val="clear" w:color="auto" w:fill="auto"/>
        <w:spacing w:lineRule="auto" w:line="261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рассматриваемом случае величина УТС не рассчитывается в соответствии с требованиями пункта 8.3 части II Методических рекомендаций.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before="0" w:after="1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восстановительного ремонта (С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>) КТС определяют по форму</w:t>
        <w:softHyphen/>
        <w:t>ле:</w:t>
      </w:r>
    </w:p>
    <w:p>
      <w:pPr>
        <w:pStyle w:val="111"/>
        <w:shd w:val="clear" w:color="auto" w:fill="auto"/>
        <w:spacing w:before="0" w:after="1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314700" cy="725170"/>
            <wp:effectExtent l="0" t="0" r="0" b="0"/>
            <wp:docPr id="3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</w:rPr>
        <w:t xml:space="preserve"> - стоимость ремонтных работ по восстановлению КТС,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</w:t>
      </w:r>
      <w:r>
        <w:rPr>
          <w:sz w:val="24"/>
          <w:szCs w:val="24"/>
        </w:rPr>
        <w:t xml:space="preserve"> - стоимость необходимых для ремонта материалов,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зч</w:t>
      </w:r>
      <w:r>
        <w:rPr>
          <w:sz w:val="24"/>
          <w:szCs w:val="24"/>
        </w:rPr>
        <w:t xml:space="preserve"> - стоимость новых запасных частей,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 - коэффициент износа составной части, подлежащей замене, %.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spacing w:before="0" w:after="8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износа запасных частей.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Остаточный ресурс КТС на момент происшествия влияет на выбор способа вос</w:t>
        <w:softHyphen/>
        <w:t>становления поврежденных составных частей, вид их ремонта. Применение технологий ремонта, снижающих ресурс составной части или КТС в целом по сравнению с другими способами ремонта, для КТС со сроком эксплуатации до 7 лет должно быть минимизировано.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общем случае износ характеризует изменения определенного пара</w:t>
        <w:softHyphen/>
        <w:t>метра (стоимости, эксплуатационных качеств и технических характеристик в виде посадок, зазоров, прочности, прозрачности и т. д.) или совокупности этих параметров относительно состояния, соответствующего новой состав</w:t>
        <w:softHyphen/>
        <w:t>ной части или КТС в целом. Износ, используемый для определения стоимости восстановительного ремонта, характеризует изменение стоимости составной части в зависимости от ее оставшегося ресурса.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Подлежит обязательному учету износ составных частей, нормативный ресурс которых меньше, чем ресурс КТС в целом, то есть тех составных ча</w:t>
        <w:softHyphen/>
        <w:t>стей, которые имеют постоянный нормальный износ и подлежат регулярной своевременной замене в соответствии с требованиями к эксплуатации транс</w:t>
        <w:softHyphen/>
        <w:t>портного средства.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расчетах расходов на ремонт в целях возмещения причиненного ущерба применение в качестве запасных частей подержанных составных ча</w:t>
        <w:softHyphen/>
        <w:t>стей с вторичного рынка не допускается. Исключение может составлять вос</w:t>
        <w:softHyphen/>
        <w:t>становление составных частей на специализированных предприятиях с пред</w:t>
        <w:softHyphen/>
        <w:t>усмотренным подтверждением качества ремонта.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Коэффициент износа составных частей (И) КТС (кроме автобусов и грузовых автомобилей) при определении стоимости восстановительного ре</w:t>
        <w:softHyphen/>
        <w:t>монта рассчитывается по формуле: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228850" cy="390525"/>
            <wp:effectExtent l="0" t="0" r="0" b="0"/>
            <wp:docPr id="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усредненный показатель износа на 1000 км пробега,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 - общий пробег (фактический или расчетный) за срок эксплуатации КТС, тыс. км;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- усредненный показатель старения за 1 год эксплуатации,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 -</w:t>
      </w:r>
      <w:r>
        <w:rPr>
          <w:sz w:val="24"/>
          <w:szCs w:val="24"/>
        </w:rPr>
        <w:t xml:space="preserve"> срок эксплуатации КТС (от даты изготовления КТС до момента, на который определяется износ), лет.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расчету подлежит износ составных частей КТС, прошедшего капи</w:t>
        <w:softHyphen/>
        <w:t>тальный ремонт, то параметры П и Д исчисляются от даты выпуска КТС после капитального ремонта.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коэффициентов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и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различных категорий и марок КТС приведены в приложении 2.4 к Методическим рекомендациям.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прицепного состава, специальных и специализированных транспорт</w:t>
        <w:softHyphen/>
        <w:t>ных средств, другой техники, для которой не представляется возможным установить фактический пробег, или режим эксплуатации предполагает дли</w:t>
        <w:softHyphen/>
        <w:t>тельную работу в стационарном режиме, или учет наработки ведется в мото</w:t>
        <w:softHyphen/>
        <w:t>часах, значение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принимается равным нулю.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Значение показателя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составных частей прицепов к легковым авто</w:t>
        <w:softHyphen/>
        <w:t xml:space="preserve">мобилям составляет 5 %, для составных частей прицепов и полуприцепов к грузовым автомобилям </w:t>
      </w:r>
      <w:r>
        <w:rPr>
          <w:i/>
          <w:iCs/>
          <w:sz w:val="24"/>
          <w:szCs w:val="24"/>
        </w:rPr>
        <w:t>-7%.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Коэффициент износа составных частей (И) автобусов и грузовых автомо</w:t>
        <w:softHyphen/>
        <w:t>билей рассчитывается по формуле: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066925" cy="400050"/>
            <wp:effectExtent l="0" t="0" r="0" b="0"/>
            <wp:docPr id="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>
        <w:rPr>
          <w:i/>
          <w:iCs/>
          <w:sz w:val="24"/>
          <w:szCs w:val="24"/>
        </w:rPr>
        <w:t>е -</w:t>
      </w:r>
      <w:r>
        <w:rPr>
          <w:sz w:val="24"/>
          <w:szCs w:val="24"/>
        </w:rPr>
        <w:t xml:space="preserve"> основание натурального логарифма, е ≈ 2,72;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со - функция, зависящая от срока эксплуатации и фактического пробега автобусов и грузовых автомобилей (смотри таблицу 4 приложения 2.4 к Ме</w:t>
        <w:softHyphen/>
        <w:t>тодическим рекомендациям).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коэффициента износа составных частей самоходной сельско</w:t>
        <w:softHyphen/>
        <w:t>хозяйственной, лесохозяйственной, дорожно-строительной техники в зави</w:t>
        <w:softHyphen/>
        <w:t>симости от срока ее эксплуатации приведены в таблице 5 приложения 2.4 к Методическим рекомендациям.</w:t>
      </w:r>
    </w:p>
    <w:p>
      <w:pPr>
        <w:pStyle w:val="111"/>
        <w:shd w:val="clear" w:color="auto" w:fill="auto"/>
        <w:tabs>
          <w:tab w:val="clear" w:pos="708"/>
          <w:tab w:val="left" w:pos="69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Срок эксплуатации и пробег составных частей принимается равным сроку эксплуатации и пробегу КТС, если не установлено иное.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составных частей, которые ранее заменяли (если факт такой замены установлен), износ может быть определен отдельно. Также отдельно может быть определен износ составных частей, установленных в результате пере</w:t>
        <w:softHyphen/>
        <w:t>оборудования, тюнинга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Подтверждением факта замены составной части может быть запись в па</w:t>
        <w:softHyphen/>
        <w:t>спорте транспортного средства, оплаченный заказ-наряд авторемонтной ор</w:t>
        <w:softHyphen/>
        <w:t>ганизации, маркировка изготовителя даты выпуска составной части и т. д.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рассматриваемых случаях срок эксплуатации составных частей и пробег КТС за это время определяется от даты замены до даты, на которую произво</w:t>
        <w:softHyphen/>
        <w:t>дится исследование.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Значение коэффициента износа (И) может быть скорректировано экс</w:t>
        <w:softHyphen/>
        <w:t>пертом, если техническое состояние определенной составной части не соот</w:t>
        <w:softHyphen/>
        <w:t>ветствует сроку эксплуатации и пробегу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Дополнительный износ для составной части КТС может быть скорректирован как в сторону повышения, так и понижения, что отражено в приложении 2.5 к Методическим рекомендациям.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Предельное значение коэффициента износа ограничивается следую</w:t>
        <w:softHyphen/>
        <w:t>щими условиями: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для случаев, регулируемых законодательством об ОСАГО, величина ко</w:t>
        <w:softHyphen/>
        <w:t>эффициента износа не может превышать 50 % стоимости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случаев, не регулируемых законодательством об ОСАГО, предель</w:t>
        <w:softHyphen/>
        <w:t>ная величина коэффициента износа не может превышать 80 % стоимости составных частей. Для составных частей КТС, имеющих срок эксплуатации более 12 лет, рекомендуемое значение коэффициента износа составляет 80 %, если отсутствуют факторы снижения износа (проведенный капитальный ре</w:t>
        <w:softHyphen/>
        <w:t>монт, замена составных частей и т. д.);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независимо от сферы правового регулирования, значение коэффициен</w:t>
        <w:softHyphen/>
        <w:t>та износа принимается равным нулю для составных частей, непосредственно влияющих на безопасность движения. Номенклатура таких составных частей приведена в приложении 2.6 к Методическим рекомендациям;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независимо от сферы правового регулирования, значение износа при</w:t>
        <w:softHyphen/>
        <w:t>нимается равным нулю для деталей из ремонтного комплекта, замена кото</w:t>
        <w:softHyphen/>
        <w:t>рых является частью технологического процесса обслуживания или ремонта (прокладки, фильтры, уплотнители и т. п.).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в случаях, не регулируемых законодательством об ОСАГО, значение из</w:t>
        <w:softHyphen/>
        <w:t>носа принимается равным нулю для составных частей КТС, срок эксплуата</w:t>
        <w:softHyphen/>
        <w:t>ции которых не превышает 5 лет.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Нулевое значение износа не применяется для КТС в целом, если: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КТС эксплуатировалось в интенсивном режиме. Интенсивный режим эксплуатации характеризуется более чем двукратным превышением фактиче</w:t>
        <w:softHyphen/>
        <w:t>ского пробега КТС относительно нормативного;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составные части остова (каркаса) и оперения кузова, кабины, рамы, ра</w:t>
        <w:softHyphen/>
        <w:t>нее восстанавливали ремонтом (за исключением случаев устранения эксплу</w:t>
        <w:softHyphen/>
        <w:t>атационных повреждений, например устранения скола ЛКП на поверхности крыла).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восстановлению ранее подлежали только составные части, не отно</w:t>
        <w:softHyphen/>
        <w:t>сящиеся к кузову в металле или оперению, например, только бамперы перед</w:t>
        <w:softHyphen/>
        <w:t>ний и задний, то они будут иметь ненулевое значение износа. Для остальных составных частей, значение износа будет нулевым;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имеет место не устраненная деформация составной части остова (кар</w:t>
        <w:softHyphen/>
        <w:t>каса) кузова, кабины, рамы, кроме эксплуатационных повреждений панелей облицовки кузова (кабины) в виде простой деформации без нарушения ЛКП, площадью не более 0,25 дм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и количеством не более одной на одну кузовную составную часть.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Наличие деформации, являющейся вторичным повреждением (например, признаком перекоса кузова), исключает нулевое значение износа независимо от ее размера;</w:t>
      </w:r>
    </w:p>
    <w:p>
      <w:pPr>
        <w:pStyle w:val="111"/>
        <w:shd w:val="clear" w:color="auto" w:fill="auto"/>
        <w:tabs>
          <w:tab w:val="clear" w:pos="708"/>
          <w:tab w:val="left" w:pos="589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составные части остова (каркаса) или оперения кузова, кабины, рамы КТС на момент ДТП имели коррозионные повреждения;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КТС эксплуатировался в режиме такси, предусматривающем оказание услуг по перевозке пассажиров и их багажа в индивидуальном порядке;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е)</w:t>
        <w:tab/>
        <w:t>КТС эксплуатировалось в регионе с тяжелыми климатическими услови</w:t>
        <w:softHyphen/>
        <w:t>ями, недостаточно развитой сетью дорог общего пользования.</w:t>
      </w:r>
    </w:p>
    <w:p>
      <w:pPr>
        <w:pStyle w:val="111"/>
        <w:shd w:val="clear" w:color="auto" w:fill="auto"/>
        <w:tabs>
          <w:tab w:val="clear" w:pos="708"/>
          <w:tab w:val="left" w:pos="72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В случаях, не регулируемых законодательством об ОСАГО, для состав</w:t>
        <w:softHyphen/>
        <w:t>ных частей, подлежащих периодической замене при эксплуатации КТС, износ подлежит расчету, и его нулевое значение не применяется, независимо от сро</w:t>
        <w:softHyphen/>
        <w:t>ка эксплуатации КТС.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 таким составным частям, в частности, относятся: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глушители выпускной системы;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шарниры системы управления и подвески;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щетки стеклоочистителей;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каталитические конверторы (нейтрализаторы);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лампы приборов внешнего освещения;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амортизаторы, комплекты стоек подвески (амортизатор с пружиной);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АКБ;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шины пневматические;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эластичные трубопроводы.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шин пневматических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КТС рассчитывается по следующей формуле: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105150" cy="742950"/>
            <wp:effectExtent l="0" t="0" r="0" b="0"/>
            <wp:docPr id="6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 xml:space="preserve"> - высота рисунка протектора новой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 xml:space="preserve"> - фактическая высота рисунка протектора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доп</w:t>
      </w:r>
      <w:r>
        <w:rPr>
          <w:sz w:val="24"/>
          <w:szCs w:val="24"/>
        </w:rPr>
        <w:t xml:space="preserve"> - минимально допустимая высота рисунка протектора шины в соот</w:t>
        <w:softHyphen/>
        <w:t>ветствии с требованиями законодательства Российской Федерации, мм.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Дополнительно износ шин увеличивается в зависимости от срока их экс</w:t>
        <w:softHyphen/>
        <w:t>плуатации: от 3 до 5 лет - на 15 %; свыше 5 лет - на 25 %.</w:t>
      </w:r>
    </w:p>
    <w:p>
      <w:pPr>
        <w:pStyle w:val="111"/>
        <w:shd w:val="clear" w:color="auto" w:fill="auto"/>
        <w:spacing w:lineRule="auto" w:line="266"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Пневматические шины, имеющие маркировку </w:t>
      </w:r>
      <w:r>
        <w:rPr>
          <w:sz w:val="24"/>
          <w:szCs w:val="24"/>
          <w:lang w:val="en-US" w:bidi="en-US"/>
        </w:rPr>
        <w:t>Regroovable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</w:rPr>
        <w:t>рассчитаны на углубление изношенного до предельного значения рисунка протектора на 3 мм. Глубина нарезанного рисунка протектора, суммированная с остаточной высотой рисунка протектора до его углубления, образовывает суммарную вы</w:t>
        <w:softHyphen/>
        <w:t>соту углубленного рисунка протектора, учитываемую в качестве высоты ри</w:t>
        <w:softHyphen/>
        <w:t>сунка протектора новой шины в формуле.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определения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пневматической шины, вос</w:t>
        <w:softHyphen/>
        <w:t>становленной методом наложения нового протектора с горячей вулканизаци</w:t>
        <w:softHyphen/>
        <w:t>ей, высота протектора (Н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>) принимается равной: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легковых автомобилей - 10 мм;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грузовых автомобилей и автобусов - 20 мм.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Значение коэффициента износа (И</w:t>
      </w:r>
      <w:r>
        <w:rPr>
          <w:sz w:val="24"/>
          <w:szCs w:val="24"/>
          <w:vertAlign w:val="subscript"/>
        </w:rPr>
        <w:t>щ</w:t>
      </w:r>
      <w:r>
        <w:rPr>
          <w:sz w:val="24"/>
          <w:szCs w:val="24"/>
        </w:rPr>
        <w:t>) шин мотоциклов, мотороллеров, мо</w:t>
        <w:softHyphen/>
        <w:t>педов, от даты изготовления которых прошло более 7 лет, и шин других КТС, от даты изготовления которых прошло более 10 лет, равняется 100 % незави</w:t>
        <w:softHyphen/>
        <w:t>симо от степени их изношенности.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Если производителем КТС или пневматической шины в эксплуатаци</w:t>
        <w:softHyphen/>
        <w:t>онной документации определен срок эксплуатации, то при его достижении шина имеет значение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), равное 100 %, независимо от степени изношенности протектора.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аккумуляторной батареи (И</w:t>
      </w:r>
      <w:r>
        <w:rPr>
          <w:sz w:val="24"/>
          <w:szCs w:val="24"/>
          <w:vertAlign w:val="subscript"/>
        </w:rPr>
        <w:t>АКБ</w:t>
      </w:r>
      <w:r>
        <w:rPr>
          <w:sz w:val="24"/>
          <w:szCs w:val="24"/>
        </w:rPr>
        <w:t>)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590800" cy="752475"/>
            <wp:effectExtent l="0" t="0" r="0" b="0"/>
            <wp:docPr id="7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Д</w:t>
      </w:r>
      <w:r>
        <w:rPr>
          <w:sz w:val="24"/>
          <w:szCs w:val="24"/>
          <w:vertAlign w:val="subscript"/>
        </w:rPr>
        <w:t>ФАКБ</w:t>
      </w:r>
      <w:r>
        <w:rPr>
          <w:sz w:val="24"/>
          <w:szCs w:val="24"/>
        </w:rPr>
        <w:t xml:space="preserve"> - фактический срок эксплуатации АКБ, месяцев;</w:t>
      </w:r>
    </w:p>
    <w:p>
      <w:pPr>
        <w:pStyle w:val="111"/>
        <w:shd w:val="clear" w:color="auto" w:fill="auto"/>
        <w:spacing w:lineRule="auto" w:line="314"/>
        <w:jc w:val="both"/>
        <w:rPr>
          <w:sz w:val="24"/>
          <w:szCs w:val="24"/>
        </w:rPr>
      </w:pPr>
      <w:r>
        <w:rPr>
          <w:smallCaps/>
          <w:sz w:val="24"/>
          <w:szCs w:val="24"/>
        </w:rPr>
        <w:t>Д</w:t>
      </w:r>
      <w:r>
        <w:rPr>
          <w:smallCaps/>
          <w:sz w:val="24"/>
          <w:szCs w:val="24"/>
          <w:vertAlign w:val="subscript"/>
        </w:rPr>
        <w:t>Н</w:t>
      </w:r>
      <w:r>
        <w:rPr>
          <w:smallCaps/>
          <w:sz w:val="24"/>
          <w:szCs w:val="24"/>
        </w:rPr>
        <w:t>акб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vertAlign w:val="superscript"/>
        </w:rPr>
        <w:t>_</w:t>
      </w:r>
      <w:r>
        <w:rPr>
          <w:sz w:val="24"/>
          <w:szCs w:val="24"/>
        </w:rPr>
        <w:t xml:space="preserve"> эксплуатационная норма среднего ресурса АКБ, месяцев.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решения задач, указанных в Методических рекомендациях, эксплуа</w:t>
        <w:softHyphen/>
        <w:t>тационные нормы среднего ресурса АКБ до ее замены принимаются равны</w:t>
        <w:softHyphen/>
        <w:t>ми: для обслуживаемых аккумуляторных свинцовых стартерных батарей - 40 месяцев; для малообслуживаемых аккумуляторных свинцовых стартерных батарей - 52 месяца; для необслуживаемых аккумуляторных свинцовых стар</w:t>
        <w:softHyphen/>
        <w:t>терных батарей - 64 месяца.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Фактический срок эксплуатации АКБ определяется от даты ее изготовле</w:t>
        <w:softHyphen/>
        <w:t>ния согласно маркировке. Если дату изготовления АКБ установить не пред</w:t>
        <w:softHyphen/>
        <w:t>ставляется возможным, то срок эксплуатации АКБ исчисляется от даты ее продажи (реализации).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тип АКБ, дату изготовления АКБ или дату ее продажи (реализации) установить не представляется возможным - износ принимается равным 50 %.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 xml:space="preserve">Результат расчета износа в отношении поврежденного транспортного средства BMW X6 xDrive30d,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>: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</w:rPr>
      </w:pPr>
      <w:r>
        <w:rPr/>
        <w:t>Вид транспорта - Легковой;</w:t>
      </w:r>
    </w:p>
    <w:p>
      <w:pPr>
        <w:pStyle w:val="Normal"/>
        <w:jc w:val="center"/>
        <w:rPr>
          <w:b/>
          <w:b/>
          <w:bCs/>
        </w:rPr>
      </w:pPr>
      <w:r>
        <w:rPr/>
        <w:t>Период времени (Д) - 7,5 (восемь лет);</w:t>
      </w:r>
    </w:p>
    <w:p>
      <w:pPr>
        <w:pStyle w:val="Normal"/>
        <w:jc w:val="center"/>
        <w:rPr>
          <w:b/>
          <w:b/>
          <w:bCs/>
        </w:rPr>
      </w:pPr>
      <w:r>
        <w:rPr/>
        <w:t>Общий пробег (П) - 85,506 (тыс. км.);</w:t>
      </w:r>
    </w:p>
    <w:p>
      <w:pPr>
        <w:pStyle w:val="Normal"/>
        <w:jc w:val="center"/>
        <w:rPr>
          <w:b/>
          <w:b/>
          <w:bCs/>
        </w:rPr>
      </w:pPr>
      <w:r>
        <w:rPr/>
        <w:t>Усредненный показатель износа на 1000 км пробега (И1) - 0,23%;</w:t>
      </w:r>
    </w:p>
    <w:p>
      <w:pPr>
        <w:pStyle w:val="Normal"/>
        <w:jc w:val="center"/>
        <w:rPr>
          <w:b/>
          <w:b/>
          <w:bCs/>
        </w:rPr>
      </w:pPr>
      <w:r>
        <w:rPr/>
        <w:t>Усредненный показатель старения за 1 год эксплуатации (И2) - 1,1%;</w:t>
      </w:r>
    </w:p>
    <w:p>
      <w:pPr>
        <w:pStyle w:val="Normal"/>
        <w:jc w:val="center"/>
        <w:rPr>
          <w:b/>
          <w:b/>
          <w:bCs/>
        </w:rPr>
      </w:pPr>
      <w:r>
        <w:rPr/>
        <w:t>И = И1 x П + И2 x Д = 0,23 x 85,506 + 1,1 x 7,5 = 27,9%</w:t>
      </w:r>
    </w:p>
    <w:p>
      <w:pPr>
        <w:pStyle w:val="Normal"/>
        <w:jc w:val="center"/>
        <w:rPr>
          <w:b/>
          <w:b/>
          <w:bCs/>
        </w:rPr>
      </w:pPr>
      <w:r>
        <w:rPr/>
        <w:t>Износ (И) - 27,90 %.</w:t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4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070"/>
        <w:gridCol w:w="5277"/>
      </w:tblGrid>
      <w:tr>
        <w:trPr>
          <w:trHeight w:val="325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Группы запчастей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Износ</w:t>
            </w:r>
          </w:p>
        </w:tc>
      </w:tr>
      <w:tr>
        <w:trPr>
          <w:trHeight w:val="161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Шины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130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Аккумуляторная батарея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223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Комплектующие, узлы и агрегаты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27,90 </w:t>
            </w:r>
          </w:p>
        </w:tc>
      </w:tr>
    </w:tbl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запасных частей.</w:t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bookmarkStart w:id="3" w:name="_Hlk31288543"/>
      <w:r>
        <w:rPr>
          <w:sz w:val="24"/>
          <w:szCs w:val="24"/>
        </w:rPr>
        <w:t>Замена, как технологическая операция ремонта</w:t>
      </w:r>
      <w:bookmarkEnd w:id="3"/>
      <w:r>
        <w:rPr>
          <w:sz w:val="24"/>
          <w:szCs w:val="24"/>
        </w:rPr>
        <w:t>, предусматривает установку новой составной части (запасной части, компонента) вместо заме</w:t>
        <w:softHyphen/>
        <w:t>няемой.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Замена кузовной составной части - комплекс технологических операций, обычно включающий: отсоединение и снятие старой детали, удаление остат</w:t>
        <w:softHyphen/>
        <w:t>ков металла, коррозионных повреждений, рихтовку соединительных кромок, подгонку (иногда с отрезанием) и сварку новой кузовной составной части, зачистку сварных точек и швов, выравнивание поверхностей наполнителями и шлифовку дефектных мест.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и перечень составных частей, подлежащих замене при вос</w:t>
        <w:softHyphen/>
        <w:t>становительном ремонте КТС, определяется по результатам его осмотра с учетом норм, правил и процедур ремонта КТС, установленных его изготови</w:t>
        <w:softHyphen/>
        <w:t>телем, принципов технической возможности и экономической целесообраз</w:t>
        <w:softHyphen/>
        <w:t>ности ремонта. Если такие нормы, процедуры и правила изготовителем КТС не установлены, используются нормы, процедуры и правила, установленные Единой методикой для случаев, регулируемых законодательством об ОСАГО и настоящими Методическими рекомендациями для всех остальных случаев, требующих расчета стоимости восстановительного ремонта и размера при</w:t>
        <w:softHyphen/>
        <w:t>чиненного ущерба.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Среди новых запасных частей (компонентов), в зависимости от их производителя, поставщика следует выделить следующие: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 запасные части, поставляемые официаль</w:t>
        <w:softHyphen/>
        <w:t>ными поставщиками изготовителя КТС (шасси);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составные части соответствующего качества (неоригинальные запасные части, производители которых могут удостоверить их качество);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остальные запасные части (неоригинальные запасные части, необходимые качества которых не доказаны или отсутствуют сертификаты соответствия). </w:t>
      </w:r>
    </w:p>
    <w:p>
      <w:pPr>
        <w:pStyle w:val="111"/>
        <w:shd w:val="clear" w:color="auto" w:fill="auto"/>
        <w:tabs>
          <w:tab w:val="clear" w:pos="708"/>
          <w:tab w:val="left" w:pos="142" w:leader="none"/>
        </w:tabs>
        <w:ind w:hanging="142"/>
        <w:jc w:val="both"/>
        <w:rPr>
          <w:sz w:val="24"/>
          <w:szCs w:val="24"/>
        </w:rPr>
      </w:pPr>
      <w:r>
        <w:rPr>
          <w:sz w:val="24"/>
          <w:szCs w:val="24"/>
        </w:rPr>
        <w:tab/>
        <w:tab/>
        <w:t xml:space="preserve">   К оригинальным запасным частям относят запасные части, поставляемые на сборочное производство КТС и поставляемые изготовителем КТС уполно</w:t>
        <w:softHyphen/>
        <w:t>моченным им субъектам предпринимательской деятельности или авторизо</w:t>
        <w:softHyphen/>
        <w:t>ванным исполнителям ремонта. Источником ценовой информации таких за</w:t>
        <w:softHyphen/>
        <w:t>пасных частей являются данные авторизованного исполнителя ремонта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запасным частям, поставляемым официальными поставщиками изгото</w:t>
        <w:softHyphen/>
        <w:t>вителя КТС (шасси) относят: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запасные части, которые поставляет производитель составных частей изготовителю КТС или продает, в частности, своим дистрибьюторам. Источ</w:t>
        <w:softHyphen/>
        <w:t>ником ценовой информации таких запасных частей являются данные офи</w:t>
        <w:softHyphen/>
        <w:t>циального представителя производителя этих составных частей, а в случае его отсутствия - среднерыночная цена продавцов этих составных частей из прайс-листов или Интернет-ресурсов;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неоригинальные запасные части, однако изготавливаемые согласно техническим условиям и производственным стандартам изготовителя КТС, являющиеся официальными заменителями оригинальных составных частей. Источником ценовой информации таких запасных частей являются данные официального представителя производителя этих составных частей, а в слу</w:t>
        <w:softHyphen/>
        <w:t>чае его отсутствия - среднерыночная цена продавцов этих составных частей из прайс-листов или Интернет-ресурсов.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Запасные части должны удовлетворять критериям сертификации компо</w:t>
        <w:softHyphen/>
        <w:t>нентов в соответствии с пунктом 97 главы 5 раздела V Технического регла</w:t>
        <w:softHyphen/>
        <w:t>мента Таможенного союза «О безопасности колесных транспортных средств».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имеют обозначение типа изделия, которое определил изготовитель КТС (номер в соответствии с конструкторской до</w:t>
        <w:softHyphen/>
        <w:t>кументацией, каталожный номер и т.п.).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смете восстановительного ремонта эксперт должен указать уникальный номер составной части, присвоенный изготовителем КТС.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Для максимального обеспечения качества ремонта при определении стоимости восстановительного ремонта КТС и размера ущерба вне рамок законодательства об ОСАГО применяют ценовые данные на оригинальные запасные части, которые поставляются изготовителем КТС авторизованным ремонтникам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наличии в регионе нескольких авторизованных исполнителей ремон</w:t>
        <w:softHyphen/>
        <w:t>та определенной марки КТС применяют меньшее ценовое значение ориги</w:t>
        <w:softHyphen/>
        <w:t>нальной запасной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документального подтверждения восстановления КТС или его со</w:t>
        <w:softHyphen/>
        <w:t xml:space="preserve">ставной части </w:t>
      </w:r>
      <w:r>
        <w:rPr>
          <w:i/>
          <w:iCs/>
          <w:sz w:val="24"/>
          <w:szCs w:val="24"/>
        </w:rPr>
        <w:t>у</w:t>
      </w:r>
      <w:r>
        <w:rPr>
          <w:sz w:val="24"/>
          <w:szCs w:val="24"/>
        </w:rPr>
        <w:t xml:space="preserve"> авторизованного исполнителя ремонта определенной модели КТС применяют цены на оригинальные запасные части на этом предприятии.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авторизованного исполнителя ремонта для исследуемого КТС в регионе следует использовать ценовые данные запасных частей, по</w:t>
        <w:softHyphen/>
        <w:t>ставляемых официальными поставщиками изготовителя КТС (шасси). При этом используют цены на запасные части, поставляемые под срочный заказ (кратчайший срок).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ценовых данных на оригинальные запасные части в ре</w:t>
        <w:softHyphen/>
        <w:t>гионе последовательно учитывают ценовые источники данных в ближайших регионах, в РФ в целом.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используют метод пропорции между ценовыми значениями раз</w:t>
        <w:softHyphen/>
        <w:t>личных запасных частей одной группы составных частей по зарубежным источникам информации и по ценовым данным на соответствующие ориги</w:t>
        <w:softHyphen/>
        <w:t>нальные запасные части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невозможности получения ценовых данных запасных частей по приведенным выше алгоритмам допускается применение стоимостных дан</w:t>
        <w:softHyphen/>
        <w:t>ных запасных частей аналогичных КТС. Подбор аналога осуществляется в со</w:t>
        <w:softHyphen/>
        <w:t>ответствии с требованиями пункта 5.13 части 1 Методических рекомендаций. При таких обстоятельствах допускается использовать данные аналогов и для определения нормативов трудоемкости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определении стоимости запасных частей учитывают наличие ремонт</w:t>
        <w:softHyphen/>
        <w:t>ного комплекта для полного устранения повреждения, поставляемого вместе с заменяемой составной частью (в случаях, предусмотренных технологиче</w:t>
        <w:softHyphen/>
        <w:t>ской документацией).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Применение оригинальных запасных частей, поставляемых изгото</w:t>
        <w:softHyphen/>
        <w:t>вителем КТС авторизованным ремонтникам в регионе, может быть ограниче</w:t>
        <w:softHyphen/>
        <w:t>но в следующих случаях: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если замене подлежат неоригинальные составные части, необходимо использовать запчасти соответствующего качества;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КТС со сроком эксплуатации, превышающим граничный, возможно применение узлов и агрегатов предусмотренного изготовителем обменного фонда запасных частей. Такие составные части должны быть восстановлены на специализированных предприятиях и поставляться в сеть авторизован</w:t>
        <w:softHyphen/>
        <w:t>ных исполнителей. Как правило, такие составные части имеют в каталожном номере литеру «X». Установка реставрированных запасных частей, как прави</w:t>
        <w:softHyphen/>
        <w:t>ло, требует соблюдения дополнительных условий (например, обмена повреж</w:t>
        <w:softHyphen/>
        <w:t>денной составной части на восстановленную);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для КТС со сроком эксплуатации, превышающим граничный, допуска</w:t>
        <w:softHyphen/>
        <w:t>ется использование отбракованных составных частей кузова для изготовле</w:t>
        <w:softHyphen/>
        <w:t>ния ремонтных вставок в случаях, предусмотренных изготовителем КТС;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для КТС с граничным сроком эксплуатации допускается применение в ка</w:t>
        <w:softHyphen/>
        <w:t>честве конкурирующих запасных частей - запасных частей соответствующего качества. К конкурирующим относят детали и узлы, серийное производство ко</w:t>
        <w:softHyphen/>
        <w:t>торых может быть налажено на любом специализированном предприятии; про</w:t>
        <w:softHyphen/>
        <w:t>кладки, шланги, детали сцепления и тормозов, амортизаторы, вентиляторные ремни, диски колес, некоторые детали двигателей, топливной и гидравлической аппаратуры, глушители. Особо конкурирующими считают запасные части стан</w:t>
        <w:softHyphen/>
        <w:t>дартизированного ассортимента, аналоги которых поставляются на рынки мно</w:t>
        <w:softHyphen/>
        <w:t>гочисленными производителями. В эту категорию входят такие детали, как свечи зажигания, фильтрующие элементы, стандартные подшипники и т. п.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Если составная часть, подлежащая замене, уже имела не устраненные повреждения до рассматриваемого события происшествия, то эти предыду</w:t>
        <w:softHyphen/>
        <w:t>щие повреждения должны быть учтены.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Их учет осуществляется либо применением дополнительного износа заменя</w:t>
        <w:softHyphen/>
        <w:t>емой составной части с учетом данных таблицы 2 приложения 2.5 «Определение дополнительного износа составной части КТС» к Методическим рекомендаци</w:t>
        <w:softHyphen/>
        <w:t>ям, либо путем следующего расчета. От совокупных затрат на замену составной части (стоимости составной части и работ на ее замену) вычитают затраты на ее ремонт вследствие повреждений, которые были до рассматриваемого события.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Полученное отрицательное значение свидетельствует о необходимости за</w:t>
        <w:softHyphen/>
        <w:t>мены составной части вследствие предыдущего повреждения. В этом случае при определении стоимости восстановительного ремонта и размера ущерба от рассматриваемого события стоимость таких составных частей в расчетах не учитывается, а учитывается только их демонтаж-монтаж при ремонте, если это необходимо.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случае необходимости определения стоимости запасной части (С</w:t>
      </w:r>
      <w:r>
        <w:rPr>
          <w:sz w:val="24"/>
          <w:szCs w:val="24"/>
          <w:vertAlign w:val="subscript"/>
        </w:rPr>
        <w:t>ЗЧ1</w:t>
      </w:r>
      <w:r>
        <w:rPr>
          <w:sz w:val="24"/>
          <w:szCs w:val="24"/>
        </w:rPr>
        <w:t>) на прошедшую дату допускается использовать индексы инфляции, что учтено в формуле: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00" w:hanging="0"/>
        <w:jc w:val="both"/>
        <w:rPr>
          <w:sz w:val="24"/>
          <w:szCs w:val="24"/>
        </w:rPr>
      </w:pPr>
      <w:r>
        <w:rPr/>
        <w:drawing>
          <wp:inline distT="0" distB="9525" distL="0" distR="0">
            <wp:extent cx="4972050" cy="904875"/>
            <wp:effectExtent l="0" t="0" r="0" b="0"/>
            <wp:docPr id="8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ЗЧа</w:t>
      </w:r>
      <w:r>
        <w:rPr>
          <w:sz w:val="24"/>
          <w:szCs w:val="24"/>
        </w:rPr>
        <w:t xml:space="preserve"> - стоимость составной части на определенную (актуальную) дату ис</w:t>
        <w:softHyphen/>
        <w:t>следования,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,;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,. </w:t>
      </w:r>
      <w:r>
        <w:rPr>
          <w:sz w:val="24"/>
          <w:szCs w:val="24"/>
        </w:rPr>
        <w:t>- индексы инфляции за первый и последующие месяцы от даты оцен</w:t>
        <w:softHyphen/>
        <w:t>ки до актуальной даты, % (относительно 100 % как базы отсчета).</w:t>
      </w:r>
    </w:p>
    <w:p>
      <w:pPr>
        <w:pStyle w:val="111"/>
        <w:shd w:val="clear" w:color="auto" w:fill="auto"/>
        <w:spacing w:before="0" w:after="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изменение стоимости детали в рублевом эквиваленте в тече</w:t>
        <w:softHyphen/>
        <w:t>ние непродолжительного периода в основном обусловлено изменением курса валюты (евро, доллар и др.), корректировка может быть произведена экспер</w:t>
        <w:softHyphen/>
        <w:t>том с учетом разности курса валюты на дату исследования и дату определения стоимости по следующей формуле:</w:t>
      </w:r>
    </w:p>
    <w:p>
      <w:pPr>
        <w:pStyle w:val="111"/>
        <w:shd w:val="clear" w:color="auto" w:fill="auto"/>
        <w:spacing w:before="0" w:after="4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450590" cy="828040"/>
            <wp:effectExtent l="0" t="0" r="0" b="0"/>
            <wp:docPr id="9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К</w:t>
      </w:r>
      <w:r>
        <w:rPr>
          <w:sz w:val="24"/>
          <w:szCs w:val="24"/>
          <w:vertAlign w:val="subscript"/>
        </w:rPr>
        <w:t>руБ рЕТр</w:t>
      </w:r>
      <w:r>
        <w:rPr>
          <w:sz w:val="24"/>
          <w:szCs w:val="24"/>
        </w:rPr>
        <w:t xml:space="preserve"> - курс валюты (евро, доллар и др.) на дату проведения расчетов;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руБ</w:t>
      </w:r>
      <w:r>
        <w:rPr>
          <w:sz w:val="24"/>
          <w:szCs w:val="24"/>
        </w:rPr>
        <w:t xml:space="preserve"> - курс валюты (евро, доллар и др.) на дату проведения эксперти</w:t>
        <w:softHyphen/>
        <w:t>зы или исследования.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>В соответ</w:t>
        <w:softHyphen/>
        <w:t xml:space="preserve">ствии с п. 7.14 Методических рекомендаций применяются оригинальные запасные части, которые поставляются изготовителем КТС авторизованным ремонтникам в регионе. В соответствии с поставленным, перед экспертом, вопросом стоимость запасных частей в отношении поврежденного транспортного средства BMW X6 xDrive30d,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принята по интернет-источнику </w:t>
      </w:r>
      <w:hyperlink r:id="rId11">
        <w:r>
          <w:rPr>
            <w:rStyle w:val="Style11"/>
            <w:b/>
            <w:bCs/>
            <w:lang w:val="en-US"/>
          </w:rPr>
          <w:t>www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emex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ru</w:t>
        </w:r>
      </w:hyperlink>
      <w:r>
        <w:rPr>
          <w:b/>
          <w:bCs/>
        </w:rPr>
        <w:t xml:space="preserve"> выборка запасных частей указана ниже: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23355" cy="8428355"/>
                <wp:effectExtent l="0" t="0" r="0" b="0"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522840" cy="8427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style="position:absolute;margin-left:0pt;margin-top:-663.65pt;width:513.55pt;height:663.55pt;mso-position-vertical:top" type="shapetype_75">
                <v:imagedata r:id="rId1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08115" cy="4328795"/>
                <wp:effectExtent l="0" t="0" r="0" b="0"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6507360" cy="4328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40.85pt;width:512.35pt;height:340.75pt;mso-position-vertical:top" type="shapetype_75">
                <v:imagedata r:id="rId13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расходных материалов.</w: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Расчет стоимости необходимых для ремонта материалов включает в себя определение затрат на используемые при ремонте основные и вспомога</w:t>
        <w:softHyphen/>
        <w:t>тельные лакокрасочные материалы; материалы для противошумной и анти</w:t>
        <w:softHyphen/>
        <w:t>коррозионной обработки; материалы для изготовления ремонтных вставок, усилителей; масло, хладагенты, тормозные, охлаждающие и другие рабочие жидкости, обеспечивающие функционирование заменяемых или ремонтиру</w:t>
        <w:softHyphen/>
        <w:t>емых узлов и агрегатов; крепежные материалы.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 представляет собой стоимость затраченных при окраске КТС или их составных частей основных и вспомогательных матери</w:t>
        <w:softHyphen/>
        <w:t>алов.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основным материалам относится материал, масса которого входит в массу основного изделия (краска, лаки, шпатлевка, грунт и т. д.). Вспомога</w:t>
        <w:softHyphen/>
        <w:t>тельные материалы при окраске - соответственно, материал, масса которого не входит в массу основного изделия (смывки, растворители, укрывочный ма</w:t>
        <w:softHyphen/>
        <w:t>териал и т. д.).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Затраты на ЛКМ должны учитывать особенности составной части: метал</w:t>
        <w:softHyphen/>
        <w:t>лическая или пластмассовая, новая или подвергавшаяся ремонту (с учетом площади этого ремонта).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ЛКМ, используемых при восстановительном ремонте, может быть определена одним из следующих способов:</w:t>
      </w:r>
    </w:p>
    <w:p>
      <w:pPr>
        <w:pStyle w:val="111"/>
        <w:shd w:val="clear" w:color="auto" w:fill="auto"/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- по нормам расхода материалов на единицу площади окрашиваемой по</w:t>
        <w:softHyphen/>
        <w:t>верхности, основанным на данных производителя лакокрасочных матери</w:t>
        <w:softHyphen/>
        <w:t>алов и площади окрашиваемой поверхности. Стоимость затрат на ЛКМ определяется произведением нормы расхода материалов в денежной фор</w:t>
        <w:softHyphen/>
        <w:t>ме на единицу окрашиваемой поверхности и площади окрашиваемой по</w:t>
        <w:softHyphen/>
        <w:t>верхности (составной части);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по процентному соотношению стоимости материалов, необходимых для окраски и обработки КТС (его составных частей) к стоимости соответ</w:t>
        <w:softHyphen/>
        <w:t>ствующих работ по окраске;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при невозможности расчета стоимости ЛКМ способами, указанными выше, допускается определение затрат ЛКМ (как правило, вместе с окра</w:t>
        <w:softHyphen/>
        <w:t>сочными работами) в денежной форме на одну кузовную составную часть.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Расчет нормы расхода материалов в денежной форме на единицу пло</w:t>
        <w:softHyphen/>
        <w:t>щади окрашиваемой поверхности (удельная норма затрат ЛКМ на единицу окрашиваемой площади) производится по следующему алгоритму: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КТС с известной площадью наружной поверхности;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система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полный перечень основных и вспомогательных материалов в соответствии с выбранной системой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устанавливаются нормы расхода компонентов окрасочной системы для наружной окраски КТС по данным производителя ЛКМ или изготовителя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стоимость единицы каждого материала окрасочной системы в регионе;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перемножением норм расхода материала каждого компонента системы и его стоимости определяются затраты каждого компонента системы для наружной окраски КТС в денежном эквиваленте;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делением суммы затрат всех материалов на наружную окраску КТС в де</w:t>
        <w:softHyphen/>
        <w:t>нежной форме на площадь наружной поверхности КТС получают удель</w:t>
        <w:softHyphen/>
        <w:t>ную норму затрат ЛКМ на единицу окрашиваемой площади в денежном эквиваленте.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 аналогичному алгоритму можно определить норму расхода для раз</w:t>
        <w:softHyphen/>
        <w:t>личных систем окраски (новых, отремонтированных на площади свыше 50 %, пластмассовых составных частей) поставщиков ЛКМ, представленных в ре</w:t>
        <w:softHyphen/>
        <w:t>гионе.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на единицу площади окрашиваемой по</w:t>
        <w:softHyphen/>
        <w:t>верхности могут подлежать самостоятельному расчету экспертом, исходя из выбранной системы окрашивания, стоимости материалов в регионе и нали</w:t>
        <w:softHyphen/>
        <w:t>чия данных о площади окрашиваемых элементов.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могут быть рекомендованы для применения экспертами в регионе на основании обобщенных расчетов, проведенных ре</w:t>
        <w:softHyphen/>
        <w:t>гиональными центрами судебной экспертизы.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допущенных к применению для целей автотехнической экспертизы по специальности 13.4 программно-расчетных комплексах должен содержаться алгоритм расчета расхода материалов на единицу площади окрашиваемой поверхности. Эксперт, при необходимости, должен иметь возможность скор</w:t>
        <w:softHyphen/>
        <w:t>ректировать расход материалов окраски в программно-расчетных комплек</w:t>
        <w:softHyphen/>
        <w:t>сах с учетом цен, существующих в регионе, где определяется стоимость вос</w:t>
        <w:softHyphen/>
        <w:t>становительного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Источником информации о затратах на окраску КТС (его составных ча</w:t>
        <w:softHyphen/>
        <w:t>стей) являются данные изготовителей КТС, производителей ЛКМ, справоч</w:t>
        <w:softHyphen/>
        <w:t>ная литература и компьютерные программы, разработанные по данным из</w:t>
        <w:softHyphen/>
        <w:t>готовителей КТС или производителей ЛКМ и приведенные в Примерном пе</w:t>
        <w:softHyphen/>
        <w:t>речне рекомендованных технических документов и источников информации, используемых для определения размера ущерба, стоимости восстановитель</w:t>
        <w:softHyphen/>
        <w:t>ного ремонта и оценки КТС (приложение 1.1 к первой части Методических рекомендаций).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Возможность применения программно-расчетных комплексов для целей автотехнической экспертизы по специальности 13.4 определяется РФЦСЭ по</w:t>
        <w:softHyphen/>
        <w:t>сле их апробации.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Использование предусмотренных источников информации не исключает ответственности эксперта за анализ и выбор данных для расчетов.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ЛКМ (С</w:t>
      </w:r>
      <w:r>
        <w:rPr>
          <w:sz w:val="24"/>
          <w:szCs w:val="24"/>
          <w:vertAlign w:val="subscript"/>
        </w:rPr>
        <w:t>дкм</w:t>
      </w:r>
      <w:r>
        <w:rPr>
          <w:sz w:val="24"/>
          <w:szCs w:val="24"/>
        </w:rPr>
        <w:t>) рассчитывается по следующей формуле: где п - количество видов окраски (например, наружная, полная);</w:t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2905125" cy="752475"/>
            <wp:effectExtent l="0" t="0" r="0" b="0"/>
            <wp:docPr id="12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N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удельная норма затрат ЛКМ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 окраски на единицу окраши</w:t>
        <w:softHyphen/>
        <w:t>ваемой площади, руб/м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bidi="en-US"/>
        </w:rPr>
        <w:t>0</w:t>
      </w:r>
      <w:r>
        <w:rPr>
          <w:sz w:val="24"/>
          <w:szCs w:val="24"/>
          <w:vertAlign w:val="subscript"/>
          <w:lang w:val="en-US" w:bidi="en-US"/>
        </w:rPr>
        <w:t>KP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площадь кузовной составной части, окрашиваемая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 видом окра</w:t>
        <w:softHyphen/>
        <w:t>ски.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случаев, регламентируемых законодательством об ОСАГО, стоимость окрасочных материалов принимается в соответствии с требованиями Единой методики.</w:t>
      </w:r>
    </w:p>
    <w:p>
      <w:pPr>
        <w:pStyle w:val="111"/>
        <w:shd w:val="clear" w:color="auto" w:fill="auto"/>
        <w:tabs>
          <w:tab w:val="clear" w:pos="708"/>
          <w:tab w:val="left" w:pos="794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случае невозможности расчета способом нормирования расхода материалов на единицу окрашиваемой площади стоимость материалов окра</w:t>
        <w:softHyphen/>
        <w:t>ски, противокоррозионной и противошумной обработки кузова (кабины) определяют в зависимости от стоимости работ по окраске в следующем про</w:t>
        <w:softHyphen/>
        <w:t>центном соотношении: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70-80 % - в случае 1-слойного покрытия эмалями (1-слойное ЛКП);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100-110 % - в случае 2-слойного ЛКП, в частности с эффектом «металлик»;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120-130 % - в случае ЛКП с эффектом «перламутр».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материалов для защиты кузова от коррозии составляет 40-50 % от стоимости работ по соответствующей обработке кузова.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Алгоритм определения стоимости затрат на окрасочные работы и затраты на ЛКМ может основываться на общих источниках информа</w:t>
        <w:softHyphen/>
        <w:t xml:space="preserve">ции, например, в работах и материалах при расчете используется система </w:t>
      </w:r>
      <w:r>
        <w:rPr>
          <w:sz w:val="24"/>
          <w:szCs w:val="24"/>
          <w:lang w:val="en-US" w:bidi="en-US"/>
        </w:rPr>
        <w:t>DAT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Eurolack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  <w:lang w:val="en-US" w:bidi="en-US"/>
        </w:rPr>
        <w:t>AZT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или система от изготовителя и т. д.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возможно использовать при определении стоимости затрат на окра</w:t>
        <w:softHyphen/>
        <w:t>сочные работы один из указанных источников информации, а для стоимости затраты на ЛКМ - другой. Например, стоимость работ по окраске определить по данным изготовителя КТС из рекомендованного программно-расчетного комплекса, а стоимость материалов - при отсутствии отображения в указан</w:t>
        <w:softHyphen/>
        <w:t>ной программе площади составных частей и стоимости единицы материалов в РФ - в процентном соотношении, как указано выше.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материалов окраски составной части (С</w:t>
      </w:r>
      <w:r>
        <w:rPr>
          <w:sz w:val="24"/>
          <w:szCs w:val="24"/>
          <w:vertAlign w:val="subscript"/>
        </w:rPr>
        <w:t>лкм</w:t>
      </w:r>
      <w:r>
        <w:rPr>
          <w:sz w:val="24"/>
          <w:szCs w:val="24"/>
        </w:rPr>
        <w:t>), которая до оцениваемого повреждения уже нуждалась в окрашивании (например, вслед</w:t>
        <w:softHyphen/>
        <w:t>ствие повреждения, коррозии и т. п.),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562225" cy="457200"/>
            <wp:effectExtent l="0" t="0" r="0" b="0"/>
            <wp:docPr id="13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См</w:t>
      </w:r>
      <w:r>
        <w:rPr>
          <w:sz w:val="24"/>
          <w:szCs w:val="24"/>
          <w:vertAlign w:val="subscript"/>
        </w:rPr>
        <w:t>окр</w:t>
      </w:r>
      <w:r>
        <w:rPr>
          <w:sz w:val="24"/>
          <w:szCs w:val="24"/>
        </w:rPr>
        <w:t xml:space="preserve"> - стоимость материалов окраски всей составной части, руб.;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пов</w:t>
      </w:r>
      <w:r>
        <w:rPr>
          <w:sz w:val="24"/>
          <w:szCs w:val="24"/>
        </w:rPr>
        <w:t xml:space="preserve"> - коэффициент повреждения, который представляет собой отноше</w:t>
        <w:softHyphen/>
        <w:t>ние площади окрашивания вследствие оцениваемых повреждений к общей площади составной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Площадь окрашивания вследствие оцениваемых повреждений определя</w:t>
        <w:softHyphen/>
        <w:t>ется вычитанием от общей площади составной части площади повреждений, которые имели место до оцениваемого события. Указанная площадь измеря</w:t>
        <w:softHyphen/>
        <w:t>ется прямоугольником, в котором возможно разместить повреждения, с при</w:t>
        <w:softHyphen/>
        <w:t>пуском до 10 см на увеличение от его видимой границы.</w:t>
      </w:r>
    </w:p>
    <w:p>
      <w:pPr>
        <w:pStyle w:val="111"/>
        <w:shd w:val="clear" w:color="auto" w:fill="auto"/>
        <w:tabs>
          <w:tab w:val="clear" w:pos="708"/>
          <w:tab w:val="left" w:pos="3350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Аналогичным образом определяется стоимость работ по окраске указан</w:t>
        <w:softHyphen/>
        <w:t>ной составной части.</w:t>
        <w:tab/>
        <w:t>'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ремонтной окраски «пятном с переходом» стоимость материалов для окраски также определяют по формуле и указанным алгоритмом.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двухслойного ЛКП с эффектом «металлик» к затратам материалов окраски и трудоемкости окрасочных работ поврежден</w:t>
        <w:softHyphen/>
        <w:t>ной составной части необходимо добавить 15 % от соответствующего значе</w:t>
        <w:softHyphen/>
        <w:t>ния на окраску смежной составной части в зоне «перехода» (если этим мето</w:t>
        <w:softHyphen/>
        <w:t>дом окрашивается смежная составная часть).</w:t>
      </w:r>
    </w:p>
    <w:p>
      <w:pPr>
        <w:pStyle w:val="111"/>
        <w:shd w:val="clear" w:color="auto" w:fill="auto"/>
        <w:spacing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ЛКП с эффектом «перламутр» и многослойном покрытии с применением метода «перехода» также наносится и филер (грунт- заполнитель), а к затратам на материалы для окраски и трудоемкость окраши</w:t>
        <w:softHyphen/>
        <w:t>вания поврежденной составной необходимо добавить 50 % от соответствую</w:t>
        <w:softHyphen/>
        <w:t>щего значения на окраску смежной составной в зоне «перехода».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повреждения многослойного ЛКП с другими особыми эффекта</w:t>
        <w:softHyphen/>
        <w:t>ми в затратах на окраску (материалы и работу) должна учитываться плоскость расположения составных частей, подлежащих наружной окраске с целью вы</w:t>
        <w:softHyphen/>
        <w:t>равнивания цвета и визуального эффекта от покрытия.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Увеличение трудоемкости работ по окраске и затрат материалов при окра</w:t>
        <w:softHyphen/>
        <w:t>ске «переходом» не учитывается, если ЛКП однослойное.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материала, который используют для изготовления ре</w:t>
        <w:softHyphen/>
        <w:t>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при частичной замене кузовной составной части, рас</w:t>
        <w:softHyphen/>
        <w:t>считывают, исходя из стоимости материала для ее изготовления - стали мар</w:t>
        <w:softHyphen/>
        <w:t>ки ст.0.8 кп, - и площади заготовки для вставки,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3133725" cy="447675"/>
            <wp:effectExtent l="0" t="0" r="0" b="0"/>
            <wp:docPr id="14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0,007859 - постоянное число, отражающее вес заготовки через ее площадь,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~ рыночная стоимость 1 тонны стали холоднокатаной марки ст.0.8 кп нормальной точности, руб.;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площадь заготовки для ремонтной вставки,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 Для ремонтных вста</w:t>
        <w:softHyphen/>
        <w:t>вок кузовных составных частей и оперения применяют заготовку площадью 2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(размером 1 х 2 м).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Данный расчет применим и для случаев, когда в качестве ремонтной встав</w:t>
        <w:softHyphen/>
        <w:t>ки используются отбракованные составные части кузовов КТС.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материала, используемого для изготовления ремонтной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для усиления рамы, рассчитывают, исходя из материала ее из</w:t>
        <w:softHyphen/>
        <w:t>готовления - стали холоднокатаной марки ст.Зпс и длины вставки, по фор</w:t>
        <w:softHyphen/>
        <w:t>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000375" cy="419100"/>
            <wp:effectExtent l="0" t="0" r="0" b="0"/>
            <wp:docPr id="15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7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0,0628 - постоянное число, отражающее вес заготовки через ее линейный размер,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“ рыночная стоимость 1 тонны стали холоднокатаной марки ст.Зпс, руб.;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L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длина ремонтной вставки, м.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Длина усилительных вставок рам обычно составляет 1-2 м. Более длинные вставки используются для усиления рамы после правки значительного про</w:t>
        <w:softHyphen/>
        <w:t>гиба.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В стоимость материалов включают стоимость крепежных деталей со</w:t>
        <w:softHyphen/>
        <w:t>ставных частей в объеме до 2 % от общей стоимости заменяемых составных частей, в которых используют такой крепеж.</w:t>
      </w:r>
    </w:p>
    <w:p>
      <w:pPr>
        <w:pStyle w:val="111"/>
        <w:shd w:val="clear" w:color="auto" w:fill="auto"/>
        <w:spacing w:lineRule="auto" w:line="276" w:before="0" w:after="6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крепежных деталей может быть рассчитана исходя из их рас</w:t>
        <w:softHyphen/>
        <w:t>хода на выполнение необходимых ремонтных работ, например, разборочно-</w:t>
        <w:softHyphen/>
        <w:t>сборочных работ.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(расход) материалов - эксплуатационных жидкостей, в частности, моторных и трансмиссионных масел, масла гидравлических при</w:t>
        <w:softHyphen/>
        <w:t>водов и систем, охлаждающей жидкости, хладагентов, жидкости тормозных и климатических систем и прочее, определяют в соответствии с данными их производителей или изготовителя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Следует учитывать, что если такие Эксплуатационные материалы не утра</w:t>
        <w:softHyphen/>
        <w:t>чены, то их расход учитывается на доливку до нормативного значения при ремонте узла или агрегата, где они используются.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Повторное использование рабочей жидкости, кроме топлива, в случае за</w:t>
        <w:softHyphen/>
        <w:t>мены узла или агрегата, где они используются, не допускается (если другое не предусмотрено изготовителем).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Стоимость ремонтно-восстановительных работ С</w:t>
      </w:r>
      <w:r>
        <w:rPr>
          <w:sz w:val="24"/>
          <w:szCs w:val="24"/>
          <w:vertAlign w:val="subscript"/>
        </w:rPr>
        <w:t>рр</w:t>
      </w:r>
      <w:r>
        <w:rPr>
          <w:sz w:val="24"/>
          <w:szCs w:val="24"/>
        </w:rPr>
        <w:t xml:space="preserve"> рассчитывают по формуле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4543425" cy="628650"/>
            <wp:effectExtent l="0" t="0" r="0" b="0"/>
            <wp:docPr id="16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. - стоимость работ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Т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ji</w:t>
      </w:r>
      <w:r>
        <w:rPr>
          <w:sz w:val="24"/>
          <w:szCs w:val="24"/>
        </w:rPr>
        <w:t xml:space="preserve">.. - трудоемкость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</w:rPr>
        <w:t xml:space="preserve">-й операции (комплекса)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нормо- час;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  <w:lang w:val="en-US"/>
        </w:rPr>
        <w:t>tpi</w:t>
      </w:r>
      <w:r>
        <w:rPr>
          <w:sz w:val="24"/>
          <w:szCs w:val="24"/>
        </w:rPr>
        <w:t xml:space="preserve">, - стоимость нормо-часа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 - стоимость работ, принятая непосредственно в денежном выраже</w:t>
        <w:softHyphen/>
        <w:t>нии, руб.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jc w:val="both"/>
        <w:rPr/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расходных материалов в отношении поврежденного транспортного средства BMW X6 xDrive30d,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определена с использованием авторизованного программного продукта и указана в калькуляции по стоимости восстановительного ремонта.</w:t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111"/>
        <w:shd w:val="clear" w:color="auto" w:fill="auto"/>
        <w:spacing w:lineRule="auto" w:line="264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Определение стоимости ремонтных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567" w:leader="none"/>
          <w:tab w:val="left" w:pos="798" w:leader="none"/>
        </w:tabs>
        <w:ind w:firstLine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t>Трудоемкость ремонта определяют на основании нормативных до</w:t>
        <w:softHyphen/>
        <w:t>кументов изготовителя КТС или документов, разработанных на заказ (при участии изготовителя КТС).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 отсутствия данных изготовителя о нормативах трудоемкости определенных ремонтных операций (восстановительного ремонта кузовов, кабин и рам КТС и т. п.) используют оценочную трудоемкость.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моечно-уборочных работ, противокоррозионной и противошумной обработки, отдельных видов диагностических, регулировочных и других ра</w:t>
        <w:softHyphen/>
        <w:t>бот, в случае отсутствия данных изготовителя, применяется трудоемкость та</w:t>
        <w:softHyphen/>
        <w:t>ких работ для аналогичных КТС и их составных частей производства стран СНГ.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исполнитель ремонта применяет официально предоставленные из</w:t>
        <w:softHyphen/>
        <w:t>готовителем КТС нормы трудоемкости ремонта поврежденного кузова (каби</w:t>
        <w:softHyphen/>
        <w:t>ны) КТС или его составных частей в определенных этим изготовителем усло</w:t>
        <w:softHyphen/>
        <w:t>виях ремонта, используют нормы изготовителя (при условии предоставления указанных норм эксперту).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>Оценочная трудоемкость является усредненной (аналитически уста</w:t>
        <w:softHyphen/>
        <w:t>новленной) нормой времени на проведение восстановительного ремонта КТС авторизованным или неавторизованным исполнителем ремонта, выполняе</w:t>
        <w:softHyphen/>
        <w:t>мого в нормальных условиях работы (далее - нормальные условия).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Нормальные условия предусматривают:</w:t>
      </w:r>
    </w:p>
    <w:p>
      <w:pPr>
        <w:pStyle w:val="111"/>
        <w:shd w:val="clear" w:color="auto" w:fill="auto"/>
        <w:tabs>
          <w:tab w:val="clear" w:pos="708"/>
          <w:tab w:val="left" w:pos="56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производственные помещения, в которых обеспечены условия работы персонала, отвечающие законодательству;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профессионально подготовленный и соответствующий требованиям относительно выполняемого ремонта персонал;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технологическую документацию, утвержденную в установленном по</w:t>
        <w:softHyphen/>
        <w:t>рядке, которая обеспечивает соблюдение требований о безопасном выполне</w:t>
        <w:softHyphen/>
        <w:t>нии работ, гарантирование безопасности конструкции и других потребитель</w:t>
        <w:softHyphen/>
        <w:t>ских свойств отремонтированного КТС или его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выполнение процессов ремонта согласно требованиям технологической документации и законодательства: своевременного предоставления исполни</w:t>
        <w:softHyphen/>
        <w:t>телю ремонта на рабочее место необходимой нормативно-технической доку</w:t>
        <w:softHyphen/>
        <w:t>ментации, средств ремонта (оборудования, рабочего инструмента, в частно</w:t>
        <w:softHyphen/>
        <w:t>сти, средств измерительной техники, основных и вспомогательных материа</w:t>
        <w:softHyphen/>
        <w:t>лов, запасных частей), отвечающих требованиям;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нормы численности и нормы выработки исполнителей ремонта, уста</w:t>
        <w:softHyphen/>
        <w:t>новленные согласно законодательству.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Средняя региональная стоимость нормо-часа ремонтных работ мо</w:t>
        <w:softHyphen/>
        <w:t>жет быть определена экспертом исследованием регионального рынка услуг как среднеарифметическое значение стоимости нормо-часа в рублях по ви</w:t>
        <w:softHyphen/>
        <w:t>дам ремонтных работ (шиномонтажные, слесарно-механические, электро</w:t>
        <w:softHyphen/>
        <w:t>монтажные, арматурные, кузовные и малярные и др.).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стоимость нормо-часа работ в ремонтных организациях не различается по виду ремонтного воздействия, в расчетах используется единая величина стоимости нормо-часа на все виды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нормо-часа определяется на основании утвержденных тарифов по ремонту и обслуживанию КТС исследуемой марки по данным находящихся в регионе авторизованных исполнителей ремонта и неавтори</w:t>
        <w:softHyphen/>
        <w:t>зованных ремонтников, имеющих необходимое оборудование, оснастку, ква</w:t>
        <w:softHyphen/>
        <w:t>лифицированный персонал и выполняющих все необходимые виды работ в соответствии с нормативами изготовителя исследуемой марки КТС. Если восстановительный ремонт или отдельные виды ремонтных работ могут быть выполнены на находящихся в регионе специализированных авторемонтных предприятиях и СТОА, то их тарифы включаются в репрезентативную вы</w:t>
        <w:softHyphen/>
        <w:t>борку.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Допускается использование данных, находящихся в свободном доступе (сайты сети Интернет, сборники, справочники и т. д.), а также заказ-наряды СТОА. При использовании таких данных обязательно указание исполнителя ремонта (наименование, адрес и телефон), адрес его сайта в сети Интернет.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нормо-часа устанавливается на дату определения стоимости восстановительного ремонта и должна соответствовать расценкам, приме</w:t>
        <w:softHyphen/>
        <w:t>няемым для физических лиц за наличный расчет, без акций и персональных скидок, прочих особых условий.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ab/>
        <w:t>Средняя региональная стоимость нормо-часа ремонтных работ опре</w:t>
        <w:softHyphen/>
        <w:t>деляется раздельно для: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авторизованных исполнителей ремонта. Ее значения применяются для КТС, находящихся на гарантийном периоде эксплуатации и (или) прохо</w:t>
        <w:softHyphen/>
        <w:t>дящих техническое обслуживание у авторизованного ремонтника;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неавторизованных ремонтников и специализированных авторемонтных предприятий и СТОА. Ее значения применяются для КТС, имеющих срок эксплуатации, превышающий граничный;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всей репрезентативной выборки. Ее значения применяются для всех остальных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Рекомендуемое минимальное количество выборки в расчете региональ</w:t>
        <w:softHyphen/>
        <w:t>ной стоимости нормо-часа по каждой из приведенных групп исполнителей ремонта составляет не менее 5. Если в регионе нет такого количества испол</w:t>
        <w:softHyphen/>
        <w:t>нителей ремонта, используются данные имеющихся ремонтников (ремонт</w:t>
        <w:softHyphen/>
        <w:t>ника).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Выбор стоимостных параметров восстановительного ремонта может быть скорректирован с учетом сложности предстоящего ремонта и возмож</w:t>
        <w:softHyphen/>
        <w:t>ностей ремонтной базы ремонтника. Предпочтение имеет исполнитель ре</w:t>
        <w:softHyphen/>
        <w:t>монта, могущий обеспечить выполнение всего объема ремонтных работ по восстановлению КТС. Минимальные расценки на окраску следует применять для КТС, имеющих неудовлетворительное состояние ЛКП. В остальных случаях рекомендуется использовать средние стоимостные параметры.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59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технологической документации по ремонту или нор</w:t>
        <w:softHyphen/>
        <w:t>мативной документации относительно трудоемкости ремонта определенного типа КТС, в частности, автобуса, прицепа, полуприцепа, КТС специального или специализированного назначения, стоимость восстановительного ре</w:t>
        <w:softHyphen/>
        <w:t>монта может определяться по фактическим затратам исполнителя ремонта с дальнейшим корректированием стоимости составных частей на величину коэффициента износа.</w:t>
      </w:r>
    </w:p>
    <w:p>
      <w:pPr>
        <w:pStyle w:val="111"/>
        <w:shd w:val="clear" w:color="auto" w:fill="auto"/>
        <w:spacing w:lineRule="auto" w:line="259" w:before="0" w:after="2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Смета исполнителя ремонта может быть скорректирована лишь в части износа и стоимости оригинальных составных частей, стоимости материалов (в том числе и лакокрасочных), с учетом требований Методических рекомен</w:t>
        <w:softHyphen/>
        <w:t>даций, других объективных данных относительно выполнения ремонта.</w:t>
      </w:r>
    </w:p>
    <w:p>
      <w:pPr>
        <w:pStyle w:val="Normal"/>
        <w:spacing w:before="120" w:after="0"/>
        <w:jc w:val="both"/>
        <w:rPr>
          <w:b/>
          <w:b/>
          <w:bCs/>
        </w:rPr>
      </w:pPr>
      <w:r>
        <w:rPr>
          <w:b/>
          <w:bCs/>
        </w:rPr>
        <w:t xml:space="preserve">      </w:t>
      </w:r>
      <w:r>
        <w:rPr>
          <w:b/>
          <w:bCs/>
        </w:rPr>
        <w:t>Стоимость нормо-часа ремонтных работ принята как средняя региональ</w:t>
        <w:softHyphen/>
        <w:t>ная, то есть как среднеарифметическое значение стоимости нормо-часа по данным находящихся в регионе неавторизованных (независимых) исполни</w:t>
        <w:softHyphen/>
        <w:t>телей ремонта КТС.</w:t>
      </w:r>
    </w:p>
    <w:p>
      <w:pPr>
        <w:pStyle w:val="Normal"/>
        <w:spacing w:before="120" w:after="0"/>
        <w:jc w:val="both"/>
        <w:rPr/>
      </w:pPr>
      <w:r>
        <w:rPr>
          <w:b/>
          <w:bCs/>
        </w:rPr>
        <w:t xml:space="preserve">      </w:t>
      </w:r>
      <w:r>
        <w:rPr>
          <w:b/>
          <w:bCs/>
        </w:rPr>
        <w:t xml:space="preserve">Стоимость нормо-часа в отношении поврежденного транспортного средства BMW X6 xDrive30d,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указана в таблице №5.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5</w:t>
      </w:r>
    </w:p>
    <w:p>
      <w:pPr>
        <w:pStyle w:val="Normal"/>
        <w:rPr/>
      </w:pPr>
      <w:r>
        <w:rPr/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710"/>
        <w:gridCol w:w="2835"/>
        <w:gridCol w:w="1619"/>
        <w:gridCol w:w="1396"/>
        <w:gridCol w:w="1508"/>
        <w:gridCol w:w="1279"/>
      </w:tblGrid>
      <w:tr>
        <w:trPr>
          <w:trHeight w:val="20" w:hRule="atLeast"/>
        </w:trPr>
        <w:tc>
          <w:tcPr>
            <w:tcW w:w="1034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 xml:space="preserve">Нормочасы на ремонт </w:t>
            </w:r>
          </w:p>
        </w:tc>
      </w:tr>
      <w:tr>
        <w:trPr>
          <w:trHeight w:val="20" w:hRule="atLeast"/>
        </w:trPr>
        <w:tc>
          <w:tcPr>
            <w:tcW w:w="1034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 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Наименование</w:t>
            </w:r>
          </w:p>
        </w:tc>
        <w:tc>
          <w:tcPr>
            <w:tcW w:w="283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Телефон, Веб-сайт, Адрес</w:t>
            </w:r>
          </w:p>
        </w:tc>
        <w:tc>
          <w:tcPr>
            <w:tcW w:w="580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Виды работ и стоимость нормо-часа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автосервиса</w:t>
            </w:r>
          </w:p>
        </w:tc>
        <w:tc>
          <w:tcPr>
            <w:tcW w:w="283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Слесарно-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Электро-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Арматурные</w:t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Кузовные </w:t>
            </w:r>
          </w:p>
        </w:tc>
      </w:tr>
      <w:tr>
        <w:trPr>
          <w:trHeight w:val="20" w:hRule="atLeast"/>
        </w:trPr>
        <w:tc>
          <w:tcPr>
            <w:tcW w:w="1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 </w:t>
            </w:r>
          </w:p>
        </w:tc>
        <w:tc>
          <w:tcPr>
            <w:tcW w:w="283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механические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монтажные</w:t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777777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FFFF"/>
                <w:sz w:val="16"/>
                <w:szCs w:val="16"/>
              </w:rPr>
            </w:pPr>
            <w:r>
              <w:rPr>
                <w:b/>
                <w:bCs/>
                <w:color w:val="FFFFFF"/>
                <w:sz w:val="16"/>
                <w:szCs w:val="16"/>
              </w:rPr>
              <w:t>малярные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Apilot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(926) 374-98-07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  <w:lang w:val="en-US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1 800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1 800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1 800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1 800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19">
              <w:r>
                <w:rPr>
                  <w:rStyle w:val="ListLabel136"/>
                  <w:color w:val="0000FF"/>
                  <w:sz w:val="16"/>
                  <w:szCs w:val="16"/>
                  <w:u w:val="single"/>
                </w:rPr>
                <w:t>https://www.globalrent.ru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Москва, ул. Енисейская д.7, к3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    </w:t>
            </w:r>
            <w:r>
              <w:rPr>
                <w:color w:val="282828"/>
                <w:sz w:val="16"/>
                <w:szCs w:val="16"/>
              </w:rPr>
              <w:t>Нивюс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620-35-36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  <w:lang w:val="en-US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900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900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900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900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0">
              <w:r>
                <w:rPr>
                  <w:rStyle w:val="ListLabel136"/>
                  <w:color w:val="0000FF"/>
                  <w:sz w:val="16"/>
                  <w:szCs w:val="16"/>
                  <w:u w:val="single"/>
                </w:rPr>
                <w:t>https://nivus.ru/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Москва, ул. Автозаводская 16, корп. 2, стр. 16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СТО Автодоктор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rFonts w:ascii="Arial" w:hAnsi="Arial" w:cs="Arial"/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969-92-98, 8 (916) 132-67-75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  <w:lang w:val="en-US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500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500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500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1 </w:t>
            </w:r>
            <w:r>
              <w:rPr>
                <w:color w:val="282828"/>
                <w:sz w:val="16"/>
                <w:szCs w:val="16"/>
                <w:lang w:val="en-US"/>
              </w:rPr>
              <w:t>500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г. Люберцы, ул. Котельническая, д.8А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21">
              <w:r>
                <w:rPr>
                  <w:rStyle w:val="ListLabel137"/>
                  <w:color w:val="0000FF"/>
                  <w:sz w:val="16"/>
                  <w:szCs w:val="16"/>
                </w:rPr>
                <w:t>http://pro-pokraska.ru/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Символ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669-28-51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  <w:lang w:val="en-US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2 000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2 000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2 000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2 000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22">
              <w:r>
                <w:rPr>
                  <w:rStyle w:val="ListLabel136"/>
                  <w:color w:val="0000FF"/>
                  <w:sz w:val="16"/>
                  <w:szCs w:val="16"/>
                  <w:u w:val="single"/>
                </w:rPr>
                <w:t>https://symbol-service.ru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 xml:space="preserve"> </w:t>
            </w:r>
            <w:r>
              <w:rPr>
                <w:color w:val="282828"/>
                <w:sz w:val="16"/>
                <w:szCs w:val="16"/>
              </w:rPr>
              <w:t>г. Москва, Каширское шоссе 67, стр 14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Pitstop</w:t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8 (495) 724-59-75</w:t>
            </w:r>
          </w:p>
        </w:tc>
        <w:tc>
          <w:tcPr>
            <w:tcW w:w="161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  <w:lang w:val="en-US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1 550</w:t>
            </w:r>
          </w:p>
        </w:tc>
        <w:tc>
          <w:tcPr>
            <w:tcW w:w="139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1 550</w:t>
            </w:r>
          </w:p>
        </w:tc>
        <w:tc>
          <w:tcPr>
            <w:tcW w:w="150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1 550</w:t>
            </w:r>
          </w:p>
        </w:tc>
        <w:tc>
          <w:tcPr>
            <w:tcW w:w="127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  <w:lang w:val="en-US"/>
              </w:rPr>
              <w:t>1 550</w:t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/>
            </w:pPr>
            <w:hyperlink r:id="rId23">
              <w:r>
                <w:rPr>
                  <w:rStyle w:val="ListLabel136"/>
                  <w:color w:val="0000FF"/>
                  <w:sz w:val="16"/>
                  <w:szCs w:val="16"/>
                  <w:u w:val="single"/>
                </w:rPr>
                <w:t>https://pitstopcolor.ru</w:t>
              </w:r>
            </w:hyperlink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17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283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Москва, ул. Южнопортовая д.9</w:t>
            </w:r>
          </w:p>
        </w:tc>
        <w:tc>
          <w:tcPr>
            <w:tcW w:w="161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39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50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  <w:tc>
          <w:tcPr>
            <w:tcW w:w="127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</w:r>
          </w:p>
        </w:tc>
      </w:tr>
      <w:tr>
        <w:trPr>
          <w:trHeight w:val="20" w:hRule="atLeast"/>
        </w:trPr>
        <w:tc>
          <w:tcPr>
            <w:tcW w:w="45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color w:val="282828"/>
                <w:sz w:val="16"/>
                <w:szCs w:val="16"/>
              </w:rPr>
            </w:pPr>
            <w:r>
              <w:rPr>
                <w:color w:val="282828"/>
                <w:sz w:val="16"/>
                <w:szCs w:val="16"/>
              </w:rPr>
              <w:t>  </w:t>
            </w:r>
            <w:r>
              <w:rPr>
                <w:b/>
                <w:bCs/>
                <w:color w:val="FF0000"/>
                <w:sz w:val="16"/>
                <w:szCs w:val="16"/>
              </w:rPr>
              <w:t xml:space="preserve">Средний нормочас </w:t>
            </w:r>
          </w:p>
        </w:tc>
        <w:tc>
          <w:tcPr>
            <w:tcW w:w="161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  <w:lang w:val="en-US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 xml:space="preserve">1 </w:t>
            </w:r>
            <w:r>
              <w:rPr>
                <w:b/>
                <w:bCs/>
                <w:color w:val="FF0000"/>
                <w:sz w:val="16"/>
                <w:szCs w:val="16"/>
                <w:lang w:val="en-US"/>
              </w:rPr>
              <w:t>750</w:t>
            </w:r>
          </w:p>
        </w:tc>
        <w:tc>
          <w:tcPr>
            <w:tcW w:w="1396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1 500</w:t>
            </w:r>
          </w:p>
        </w:tc>
        <w:tc>
          <w:tcPr>
            <w:tcW w:w="150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 xml:space="preserve">1 </w:t>
            </w:r>
            <w:r>
              <w:rPr>
                <w:b/>
                <w:bCs/>
                <w:color w:val="FF0000"/>
                <w:sz w:val="16"/>
                <w:szCs w:val="16"/>
                <w:lang w:val="en-US"/>
              </w:rPr>
              <w:t>750</w:t>
            </w:r>
          </w:p>
        </w:tc>
        <w:tc>
          <w:tcPr>
            <w:tcW w:w="127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EEEEEE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color w:val="FF0000"/>
                <w:sz w:val="16"/>
                <w:szCs w:val="16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 xml:space="preserve">1 </w:t>
            </w:r>
            <w:r>
              <w:rPr>
                <w:b/>
                <w:bCs/>
                <w:color w:val="FF0000"/>
                <w:sz w:val="16"/>
                <w:szCs w:val="16"/>
                <w:lang w:val="en-US"/>
              </w:rPr>
              <w:t>750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spacing w:before="120" w:after="0"/>
        <w:ind w:firstLine="700"/>
        <w:jc w:val="both"/>
        <w:rPr/>
      </w:pPr>
      <w:r>
        <w:rPr>
          <w:b/>
          <w:bCs/>
        </w:rPr>
        <w:t xml:space="preserve">Технология и объем необходимых ремонтных воздействий зафиксированы в калькуляции по определению стоимости восстановительного ремонта транспортного средства BMW X6 xDrive30d,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  <w:color w:val="000000" w:themeColor="text1"/>
        </w:rPr>
        <w:t xml:space="preserve">, VIN </w:t>
      </w:r>
      <w:r>
        <w:rPr>
          <w:b/>
          <w:bCs/>
          <w:color w:val="000000"/>
        </w:rPr>
        <w:t>********</w:t>
      </w:r>
      <w:r>
        <w:rPr>
          <w:b/>
          <w:bCs/>
          <w:color w:val="000000" w:themeColor="text1"/>
        </w:rPr>
        <w:t xml:space="preserve"> (</w:t>
      </w:r>
      <w:r>
        <w:rPr>
          <w:b/>
          <w:bCs/>
        </w:rPr>
        <w:t>Приложение №2)</w:t>
      </w:r>
      <w:r>
        <w:rPr>
          <w:b/>
          <w:bCs/>
          <w:color w:val="000000" w:themeColor="text1"/>
        </w:rPr>
        <w:t>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ВЫВОДЫ</w:t>
      </w:r>
    </w:p>
    <w:p>
      <w:pPr>
        <w:pStyle w:val="Normal"/>
        <w:spacing w:before="120" w:after="0"/>
        <w:ind w:firstLine="720"/>
        <w:jc w:val="both"/>
        <w:rPr/>
      </w:pPr>
      <w:r>
        <w:rPr>
          <w:b/>
          <w:iCs/>
          <w:szCs w:val="22"/>
        </w:rPr>
        <w:t xml:space="preserve">По вопросу №1: </w:t>
      </w:r>
      <w:r>
        <w:rPr/>
        <w:t xml:space="preserve">Определить стоимость причиненного ущерба транспортного средства BMW X6 xDrive30d, регистрационный знак </w:t>
      </w:r>
      <w:r>
        <w:rPr>
          <w:color w:val="000000"/>
        </w:rPr>
        <w:t>********</w:t>
      </w:r>
      <w:r>
        <w:rPr/>
        <w:t xml:space="preserve"> по среднерыночным ценам.</w:t>
      </w:r>
    </w:p>
    <w:p>
      <w:pPr>
        <w:pStyle w:val="Normal"/>
        <w:spacing w:before="120" w:after="0"/>
        <w:ind w:firstLine="720"/>
        <w:jc w:val="both"/>
        <w:rPr/>
      </w:pPr>
      <w:r>
        <w:rPr/>
      </w:r>
    </w:p>
    <w:p>
      <w:pPr>
        <w:pStyle w:val="Normal"/>
        <w:spacing w:before="120" w:after="0"/>
        <w:ind w:firstLine="720"/>
        <w:jc w:val="both"/>
        <w:rPr>
          <w:i/>
          <w:i/>
        </w:rPr>
      </w:pPr>
      <w:r>
        <w:rPr>
          <w:i/>
        </w:rPr>
        <w:t>В соответствии с п. 2.10 с Методического руководства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2018г: «…Результат расчетов стоимости КТС, восстановительного ремонта или размера ущерба при формировании выводов исследования округляется до сотен рублей.»</w:t>
      </w:r>
    </w:p>
    <w:p>
      <w:pPr>
        <w:pStyle w:val="Normal"/>
        <w:spacing w:before="120" w:after="0"/>
        <w:ind w:firstLine="720"/>
        <w:jc w:val="both"/>
        <w:rPr/>
      </w:pPr>
      <w:r>
        <w:rPr/>
      </w:r>
    </w:p>
    <w:p>
      <w:pPr>
        <w:pStyle w:val="Normal"/>
        <w:tabs>
          <w:tab w:val="clear" w:pos="708"/>
          <w:tab w:val="left" w:pos="426" w:leader="none"/>
        </w:tabs>
        <w:spacing w:before="120" w:after="0"/>
        <w:jc w:val="both"/>
        <w:rPr>
          <w:b/>
          <w:b/>
          <w:iCs/>
          <w:szCs w:val="22"/>
        </w:rPr>
      </w:pPr>
      <w:r>
        <w:rPr>
          <w:b/>
          <w:iCs/>
          <w:szCs w:val="22"/>
        </w:rPr>
      </w:r>
    </w:p>
    <w:p>
      <w:pPr>
        <w:pStyle w:val="Normal"/>
        <w:jc w:val="both"/>
        <w:rPr/>
      </w:pPr>
      <w:r>
        <w:rPr>
          <w:b/>
          <w:i/>
        </w:rPr>
        <w:t xml:space="preserve">С технической точки зрения размер причиненного ущерба транспортного средства BMW X6 xDrive30d, регистрационный знак </w:t>
      </w:r>
      <w:r>
        <w:rPr>
          <w:b/>
          <w:i/>
          <w:color w:val="000000"/>
        </w:rPr>
        <w:t>********</w:t>
      </w:r>
      <w:r>
        <w:rPr/>
        <w:t xml:space="preserve"> </w:t>
      </w:r>
      <w:r>
        <w:rPr>
          <w:b/>
          <w:i/>
        </w:rPr>
        <w:t>составляет - 892 700,00 РУБ. (Восемьсот девяносто две тысячи семьсот рублей 00 копеек).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Специалист  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8035" w:leader="none"/>
        </w:tabs>
        <w:spacing w:before="240" w:after="240"/>
        <w:jc w:val="right"/>
        <w:rPr/>
      </w:pPr>
      <w:r>
        <w:rPr>
          <w:bCs/>
        </w:rPr>
        <w:t>30 апреля 2023г.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ListParagraph"/>
        <w:jc w:val="center"/>
        <w:rPr>
          <w:rFonts w:cs="Arial CYR"/>
          <w:sz w:val="24"/>
          <w:szCs w:val="24"/>
          <w:u w:val="single"/>
          <w:lang w:val="ru-RU"/>
        </w:rPr>
      </w:pPr>
      <w:r>
        <w:rPr>
          <w:bCs/>
          <w:iCs/>
          <w:sz w:val="24"/>
          <w:szCs w:val="24"/>
          <w:u w:val="single"/>
          <w:lang w:val="ru-RU"/>
        </w:rPr>
        <w:t>ПЕРЕЧЕНЬ ПРИЛОЖЕНИЙ ЯВЛЯЮЩИХСЯ НЕОТЪЕМЛЕМОЙ ЧАСТЬЮ ЭКСПЕРТНОГО ЗАКЛЮЧЕНИЯ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1. Акт осмотра от </w:t>
      </w:r>
      <w:r>
        <w:rPr>
          <w:rFonts w:ascii="Times New Roman" w:hAnsi="Times New Roman"/>
          <w:color w:val="000000"/>
          <w:sz w:val="24"/>
          <w:szCs w:val="22"/>
        </w:rPr>
        <w:t>24 апреля 2023г.</w:t>
      </w:r>
      <w:r>
        <w:rPr>
          <w:rFonts w:ascii="Times New Roman" w:hAnsi="Times New Roman"/>
          <w:sz w:val="24"/>
          <w:szCs w:val="22"/>
        </w:rPr>
        <w:t xml:space="preserve"> (Приложение№1);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2. Расчет стоимости восстановительного ремонта (Приложение№2);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3. Фотоматериал зафиксированных повреждений в ходе осмотра ТС от </w:t>
      </w:r>
      <w:r>
        <w:rPr>
          <w:rFonts w:ascii="Times New Roman" w:hAnsi="Times New Roman"/>
          <w:color w:val="000000"/>
          <w:sz w:val="24"/>
          <w:szCs w:val="22"/>
        </w:rPr>
        <w:t xml:space="preserve">24 апреля 2023г. </w:t>
      </w:r>
      <w:r>
        <w:rPr>
          <w:rFonts w:ascii="Times New Roman" w:hAnsi="Times New Roman"/>
          <w:sz w:val="24"/>
          <w:szCs w:val="22"/>
        </w:rPr>
        <w:t>(Приложение №3);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4. Копии СТС (Приложение№4);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5. Документы специалистов (Приложение №5).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№1</w:t>
      </w:r>
    </w:p>
    <w:p>
      <w:pPr>
        <w:pStyle w:val="Normal"/>
        <w:jc w:val="center"/>
        <w:rPr>
          <w:bCs/>
          <w:sz w:val="20"/>
          <w:szCs w:val="20"/>
        </w:rPr>
      </w:pPr>
      <w:r>
        <w:rPr/>
        <w:drawing>
          <wp:inline distT="0" distB="2540" distL="0" distR="0">
            <wp:extent cx="3638550" cy="816610"/>
            <wp:effectExtent l="0" t="0" r="0" b="0"/>
            <wp:docPr id="17" name="Рисунок 85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85" descr="Itog11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 w:val="20"/>
          <w:szCs w:val="20"/>
        </w:rPr>
        <w:t xml:space="preserve"> </w:t>
      </w:r>
    </w:p>
    <w:p>
      <w:pPr>
        <w:pStyle w:val="Normal"/>
        <w:jc w:val="center"/>
        <w:rPr/>
      </w:pP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>Факт. адрес: РФ, 115088, г. Москва, ул. Угрешская, д.2, стр. 53, эт.2, офис 221</w:t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hyperlink r:id="rId25">
        <w:r>
          <w:rPr>
            <w:rStyle w:val="Style11"/>
            <w:bCs/>
            <w:sz w:val="20"/>
            <w:szCs w:val="20"/>
            <w:lang w:val="en-US"/>
          </w:rPr>
          <w:t>euro</w:t>
        </w:r>
        <w:r>
          <w:rPr>
            <w:rStyle w:val="Style11"/>
            <w:bCs/>
            <w:sz w:val="20"/>
            <w:szCs w:val="20"/>
          </w:rPr>
          <w:t>.</w:t>
        </w:r>
        <w:r>
          <w:rPr>
            <w:rStyle w:val="Style11"/>
            <w:bCs/>
            <w:sz w:val="20"/>
            <w:szCs w:val="20"/>
            <w:lang w:val="en-US"/>
          </w:rPr>
          <w:t>otsenka</w:t>
        </w:r>
        <w:r>
          <w:rPr>
            <w:rStyle w:val="Style11"/>
            <w:bCs/>
            <w:sz w:val="20"/>
            <w:szCs w:val="20"/>
          </w:rPr>
          <w:t>@</w:t>
        </w:r>
        <w:r>
          <w:rPr>
            <w:rStyle w:val="Style11"/>
            <w:bCs/>
            <w:sz w:val="20"/>
            <w:szCs w:val="20"/>
            <w:lang w:val="en-US"/>
          </w:rPr>
          <w:t>gmail</w:t>
        </w:r>
        <w:r>
          <w:rPr>
            <w:rStyle w:val="Style11"/>
            <w:bCs/>
            <w:sz w:val="20"/>
            <w:szCs w:val="20"/>
          </w:rPr>
          <w:t>.</w:t>
        </w:r>
        <w:r>
          <w:rPr>
            <w:rStyle w:val="Style11"/>
            <w:bCs/>
            <w:sz w:val="20"/>
            <w:szCs w:val="20"/>
            <w:lang w:val="en-US"/>
          </w:rPr>
          <w:t>com</w:t>
        </w:r>
      </w:hyperlink>
    </w:p>
    <w:p>
      <w:pPr>
        <w:pStyle w:val="Normal"/>
        <w:jc w:val="center"/>
        <w:rPr>
          <w:b/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 xml:space="preserve">АКТ № </w:t>
      </w:r>
      <w:r>
        <w:rPr>
          <w:b/>
          <w:bCs/>
          <w:iCs/>
          <w:color w:val="000000" w:themeColor="text1"/>
          <w:sz w:val="32"/>
          <w:szCs w:val="32"/>
        </w:rPr>
        <w:t>5916-0423</w:t>
      </w:r>
    </w:p>
    <w:p>
      <w:pPr>
        <w:pStyle w:val="Normal"/>
        <w:jc w:val="center"/>
        <w:rPr>
          <w:b/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>ОСМОТРА ТРАНСПОРТНОГО СРЕДСТВА (ТС)</w:t>
      </w:r>
    </w:p>
    <w:p>
      <w:pPr>
        <w:pStyle w:val="Normal"/>
        <w:jc w:val="right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jc w:val="both"/>
        <w:rPr>
          <w:b/>
          <w:b/>
          <w:sz w:val="20"/>
          <w:szCs w:val="20"/>
        </w:rPr>
      </w:pPr>
      <w:r>
        <w:rPr>
          <w:sz w:val="20"/>
          <w:szCs w:val="20"/>
        </w:rPr>
        <w:t xml:space="preserve">Дата осмотра: </w:t>
      </w:r>
      <w:r>
        <w:rPr>
          <w:b/>
          <w:sz w:val="20"/>
          <w:szCs w:val="20"/>
        </w:rPr>
        <w:t>24.04.2023г.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Дата повреждения: </w:t>
      </w:r>
      <w:r>
        <w:rPr>
          <w:b/>
          <w:sz w:val="20"/>
          <w:szCs w:val="20"/>
        </w:rPr>
        <w:t xml:space="preserve">06.04.2023г. </w:t>
      </w:r>
    </w:p>
    <w:p>
      <w:pPr>
        <w:pStyle w:val="Normal"/>
        <w:ind w:firstLine="360"/>
        <w:jc w:val="right"/>
        <w:rPr>
          <w:sz w:val="20"/>
          <w:szCs w:val="20"/>
        </w:rPr>
      </w:pPr>
      <w:r>
        <w:rPr>
          <w:sz w:val="20"/>
          <w:szCs w:val="20"/>
        </w:rPr>
        <w:t>Начало осмотра:</w:t>
      </w:r>
      <w:r>
        <w:rPr>
          <w:b/>
          <w:sz w:val="20"/>
          <w:szCs w:val="20"/>
        </w:rPr>
        <w:t xml:space="preserve"> 12 ч. 30 мин</w:t>
      </w:r>
      <w:r>
        <w:rPr>
          <w:sz w:val="20"/>
          <w:szCs w:val="20"/>
        </w:rPr>
        <w:t>.</w:t>
      </w:r>
    </w:p>
    <w:p>
      <w:pPr>
        <w:pStyle w:val="Normal"/>
        <w:ind w:left="5304" w:firstLine="360"/>
        <w:jc w:val="right"/>
        <w:rPr>
          <w:sz w:val="20"/>
          <w:szCs w:val="20"/>
        </w:rPr>
      </w:pPr>
      <w:r>
        <w:rPr>
          <w:sz w:val="20"/>
          <w:szCs w:val="20"/>
        </w:rPr>
        <w:tab/>
        <w:t>Окончание осмотра</w:t>
      </w:r>
      <w:r>
        <w:rPr>
          <w:b/>
          <w:sz w:val="20"/>
          <w:szCs w:val="20"/>
        </w:rPr>
        <w:t>: 13 ч. 00 мин.</w:t>
      </w:r>
    </w:p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  <w:t>Место осмотра: г. Москва, Волгоградский проспект, дом 41к2</w:t>
      </w:r>
    </w:p>
    <w:p>
      <w:pPr>
        <w:pStyle w:val="Normal"/>
        <w:jc w:val="both"/>
        <w:rPr/>
      </w:pPr>
      <w:r>
        <w:rPr>
          <w:sz w:val="20"/>
          <w:szCs w:val="20"/>
        </w:rPr>
        <w:t>Мною, экспертом-техником</w:t>
      </w:r>
      <w:r>
        <w:rPr/>
        <w:t xml:space="preserve"> </w:t>
      </w:r>
      <w:r>
        <w:rPr>
          <w:sz w:val="20"/>
          <w:szCs w:val="20"/>
        </w:rPr>
        <w:t xml:space="preserve">Григорьевым М.А на основании договора № </w:t>
      </w:r>
      <w:r>
        <w:rPr>
          <w:bCs/>
          <w:color w:val="000000" w:themeColor="text1"/>
          <w:sz w:val="20"/>
          <w:szCs w:val="20"/>
        </w:rPr>
        <w:t>5916-0423</w:t>
      </w:r>
      <w:r>
        <w:rPr>
          <w:sz w:val="20"/>
          <w:szCs w:val="20"/>
        </w:rPr>
        <w:t xml:space="preserve"> произведен осмотр транспортного средства. Заказчиком, согласно предоставленным документам, является:</w:t>
      </w:r>
      <w:r>
        <w:rPr>
          <w:b/>
          <w:color w:val="000000"/>
          <w:sz w:val="28"/>
          <w:szCs w:val="28"/>
        </w:rPr>
        <w:t xml:space="preserve"> ********</w:t>
      </w:r>
      <w:r>
        <w:rPr>
          <w:b/>
          <w:color w:val="000000"/>
          <w:sz w:val="20"/>
          <w:szCs w:val="20"/>
        </w:rPr>
        <w:t>.</w:t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p>
      <w:pPr>
        <w:pStyle w:val="Normal"/>
        <w:ind w:firstLine="360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Данные транспортного средства:</w:t>
      </w:r>
    </w:p>
    <w:tbl>
      <w:tblPr>
        <w:tblpPr w:bottomFromText="0" w:horzAnchor="margin" w:leftFromText="180" w:rightFromText="180" w:tblpX="-287" w:tblpY="41" w:topFromText="0" w:vertAnchor="text"/>
        <w:tblW w:w="10627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2263"/>
        <w:gridCol w:w="1955"/>
        <w:gridCol w:w="570"/>
        <w:gridCol w:w="2408"/>
        <w:gridCol w:w="3430"/>
      </w:tblGrid>
      <w:tr>
        <w:trPr/>
        <w:tc>
          <w:tcPr>
            <w:tcW w:w="2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Марка, модель</w:t>
            </w:r>
          </w:p>
        </w:tc>
        <w:tc>
          <w:tcPr>
            <w:tcW w:w="25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BMW X6 XDRIVE 30D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Регистрационный знак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  <w:lang w:val="en-US"/>
              </w:rPr>
              <w:t>********</w:t>
            </w:r>
          </w:p>
        </w:tc>
      </w:tr>
      <w:tr>
        <w:trPr/>
        <w:tc>
          <w:tcPr>
            <w:tcW w:w="2263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Категория ТС</w:t>
            </w:r>
          </w:p>
        </w:tc>
        <w:tc>
          <w:tcPr>
            <w:tcW w:w="2525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кузова/шасси (рамы)</w:t>
            </w: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  <w:lang w:val="en-US"/>
              </w:rPr>
            </w:pPr>
            <w:r>
              <w:rPr>
                <w:b/>
                <w:color w:val="000000" w:themeColor="text1"/>
                <w:sz w:val="20"/>
                <w:szCs w:val="20"/>
                <w:lang w:val="en-US"/>
              </w:rPr>
              <w:t>VIN</w:t>
            </w:r>
          </w:p>
        </w:tc>
      </w:tr>
      <w:tr>
        <w:trPr/>
        <w:tc>
          <w:tcPr>
            <w:tcW w:w="2263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 вып./дата выпуска</w:t>
            </w:r>
          </w:p>
        </w:tc>
        <w:tc>
          <w:tcPr>
            <w:tcW w:w="2525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2015г./ 18.10.2015г.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Цвет / тип ЛКП</w:t>
            </w: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КОРИЧНЕВЫЙ</w:t>
            </w:r>
          </w:p>
        </w:tc>
      </w:tr>
      <w:tr>
        <w:trPr/>
        <w:tc>
          <w:tcPr>
            <w:tcW w:w="2263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VIN</w:t>
            </w:r>
            <w:r>
              <w:rPr>
                <w:sz w:val="20"/>
                <w:szCs w:val="20"/>
              </w:rPr>
              <w:t>код</w:t>
            </w:r>
          </w:p>
        </w:tc>
        <w:tc>
          <w:tcPr>
            <w:tcW w:w="2525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Св-во о регистрации</w:t>
            </w: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263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Модель/№ двигателя</w:t>
            </w:r>
          </w:p>
        </w:tc>
        <w:tc>
          <w:tcPr>
            <w:tcW w:w="2525" w:type="dxa"/>
            <w:gridSpan w:val="2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Паспорт ТС</w:t>
            </w: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>
        <w:trPr/>
        <w:tc>
          <w:tcPr>
            <w:tcW w:w="2263" w:type="dxa"/>
            <w:tcBorders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Рабочий объем</w:t>
            </w:r>
          </w:p>
        </w:tc>
        <w:tc>
          <w:tcPr>
            <w:tcW w:w="252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right" w:pos="2192" w:leader="none"/>
              </w:tabs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Собственник</w:t>
              <w:tab/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snapToGrid w:val="false"/>
              <w:jc w:val="both"/>
              <w:rPr/>
            </w:pPr>
            <w:r>
              <w:rPr>
                <w:b/>
                <w:color w:val="000000"/>
                <w:sz w:val="20"/>
                <w:szCs w:val="20"/>
              </w:rPr>
              <w:t>********</w:t>
            </w:r>
          </w:p>
        </w:tc>
      </w:tr>
      <w:tr>
        <w:trPr/>
        <w:tc>
          <w:tcPr>
            <w:tcW w:w="2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Мощность</w: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b/>
                <w:b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249 л.с.</w:t>
            </w:r>
          </w:p>
        </w:tc>
        <w:tc>
          <w:tcPr>
            <w:tcW w:w="6408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Пробег: </w:t>
            </w:r>
            <w:r>
              <w:rPr>
                <w:b/>
                <w:sz w:val="20"/>
                <w:szCs w:val="20"/>
              </w:rPr>
              <w:t>85506 км.</w:t>
            </w:r>
            <w:r>
              <w:rPr>
                <w:sz w:val="20"/>
                <w:szCs w:val="20"/>
              </w:rPr>
              <w:t>(показания одометра на момент осмотра)</w:t>
            </w:r>
          </w:p>
        </w:tc>
      </w:tr>
    </w:tbl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ind w:firstLine="360"/>
        <w:jc w:val="center"/>
        <w:rPr>
          <w:sz w:val="20"/>
          <w:szCs w:val="20"/>
        </w:rPr>
      </w:pPr>
      <w:r>
        <w:rPr>
          <w:b/>
          <w:sz w:val="20"/>
          <w:szCs w:val="20"/>
        </w:rPr>
        <w:t>Комплектация транспортного средства:</w:t>
      </w:r>
    </w:p>
    <w:tbl>
      <w:tblPr>
        <w:tblW w:w="10573" w:type="dxa"/>
        <w:jc w:val="lef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26"/>
        <w:gridCol w:w="1276"/>
        <w:gridCol w:w="468"/>
        <w:gridCol w:w="1767"/>
        <w:gridCol w:w="1"/>
        <w:gridCol w:w="505"/>
        <w:gridCol w:w="1"/>
        <w:gridCol w:w="3067"/>
        <w:gridCol w:w="1"/>
        <w:gridCol w:w="475"/>
        <w:gridCol w:w="1"/>
        <w:gridCol w:w="2583"/>
      </w:tblGrid>
      <w:tr>
        <w:trPr>
          <w:trHeight w:val="270" w:hRule="atLeast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МКПП</w:t>
            </w:r>
          </w:p>
        </w:tc>
        <w:tc>
          <w:tcPr>
            <w:tcW w:w="4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АКПП</w:t>
            </w:r>
          </w:p>
        </w:tc>
        <w:tc>
          <w:tcPr>
            <w:tcW w:w="5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ткань/велюр</w:t>
            </w:r>
          </w:p>
        </w:tc>
        <w:tc>
          <w:tcPr>
            <w:tcW w:w="47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84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Кондиционер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ABS</w:t>
            </w:r>
          </w:p>
        </w:tc>
        <w:tc>
          <w:tcPr>
            <w:tcW w:w="46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ESP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Обивка салона кожа/алькантара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84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Климат-контроль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ПТФ/ДХО</w:t>
            </w:r>
          </w:p>
        </w:tc>
        <w:tc>
          <w:tcPr>
            <w:tcW w:w="46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ГУР/ЭУР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Эл привод стекол 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84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Трансмиссия  4WD</w:t>
            </w:r>
          </w:p>
        </w:tc>
      </w:tr>
      <w:tr>
        <w:trPr>
          <w:trHeight w:val="27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БЕНЗИН</w:t>
            </w:r>
          </w:p>
        </w:tc>
        <w:tc>
          <w:tcPr>
            <w:tcW w:w="4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17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ДИЗЕЛЬ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 xml:space="preserve">Ксенон фары </w:t>
            </w:r>
            <w:r>
              <w:rPr>
                <w:sz w:val="16"/>
                <w:szCs w:val="16"/>
                <w:lang w:val="en-US"/>
              </w:rPr>
              <w:t>/ LED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84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Колесные диски литые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51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водителя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электроприводом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8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Датчики парковки передние/задние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51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пассажира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Зеркала з/в с подогревом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</w:tc>
        <w:tc>
          <w:tcPr>
            <w:tcW w:w="258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Газовое оборудование</w:t>
            </w:r>
          </w:p>
        </w:tc>
      </w:tr>
      <w:tr>
        <w:trPr>
          <w:trHeight w:val="240" w:hRule="atLeast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51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Airbag Боковая/шторка</w:t>
            </w:r>
          </w:p>
        </w:tc>
        <w:tc>
          <w:tcPr>
            <w:tcW w:w="50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3068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Люк крыши  </w:t>
            </w:r>
          </w:p>
        </w:tc>
        <w:tc>
          <w:tcPr>
            <w:tcW w:w="476" w:type="dxa"/>
            <w:gridSpan w:val="2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Х</w:t>
            </w:r>
          </w:p>
        </w:tc>
        <w:tc>
          <w:tcPr>
            <w:tcW w:w="258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Стекло лобовое –обогрев/ДД </w:t>
            </w:r>
          </w:p>
        </w:tc>
      </w:tr>
    </w:tbl>
    <w:p>
      <w:pPr>
        <w:pStyle w:val="Normal"/>
        <w:tabs>
          <w:tab w:val="clear" w:pos="708"/>
          <w:tab w:val="left" w:pos="1110" w:leader="none"/>
        </w:tabs>
        <w:ind w:left="-426" w:hanging="474"/>
        <w:jc w:val="both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11127" w:type="dxa"/>
        <w:jc w:val="left"/>
        <w:tblInd w:w="-561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665"/>
        <w:gridCol w:w="302"/>
        <w:gridCol w:w="1546"/>
        <w:gridCol w:w="283"/>
        <w:gridCol w:w="5331"/>
      </w:tblGrid>
      <w:tr>
        <w:trPr>
          <w:trHeight w:val="315" w:hRule="atLeast"/>
        </w:trPr>
        <w:tc>
          <w:tcPr>
            <w:tcW w:w="3665" w:type="dxa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                   </w:t>
            </w:r>
            <w:r>
              <w:rPr>
                <w:color w:val="000000"/>
                <w:sz w:val="20"/>
                <w:szCs w:val="20"/>
              </w:rPr>
              <w:t>Осмотр проводился при:</w:t>
            </w:r>
          </w:p>
        </w:tc>
        <w:tc>
          <w:tcPr>
            <w:tcW w:w="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1546" w:type="dxa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естественном</w:t>
            </w:r>
          </w:p>
        </w:tc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5331" w:type="dxa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Искусственном - освещении</w:t>
            </w:r>
          </w:p>
        </w:tc>
      </w:tr>
    </w:tbl>
    <w:p>
      <w:pPr>
        <w:pStyle w:val="Normal"/>
        <w:tabs>
          <w:tab w:val="clear" w:pos="708"/>
          <w:tab w:val="left" w:pos="1110" w:leader="none"/>
        </w:tabs>
        <w:ind w:left="-900" w:firstLine="474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tabs>
          <w:tab w:val="clear" w:pos="708"/>
          <w:tab w:val="left" w:pos="1110" w:leader="none"/>
        </w:tabs>
        <w:ind w:left="-900" w:firstLine="474"/>
        <w:rPr>
          <w:b/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         </w:t>
      </w:r>
      <w:r>
        <w:rPr>
          <w:b/>
          <w:bCs/>
          <w:sz w:val="20"/>
          <w:szCs w:val="20"/>
        </w:rPr>
        <w:t>Осмотром установлено следующее техническое состояние транспортного средства:</w:t>
      </w:r>
    </w:p>
    <w:tbl>
      <w:tblPr>
        <w:tblW w:w="11127" w:type="dxa"/>
        <w:jc w:val="left"/>
        <w:tblInd w:w="-561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654"/>
        <w:gridCol w:w="1505"/>
        <w:gridCol w:w="241"/>
        <w:gridCol w:w="1704"/>
        <w:gridCol w:w="284"/>
        <w:gridCol w:w="292"/>
        <w:gridCol w:w="235"/>
        <w:gridCol w:w="928"/>
        <w:gridCol w:w="96"/>
        <w:gridCol w:w="170"/>
        <w:gridCol w:w="1066"/>
        <w:gridCol w:w="283"/>
        <w:gridCol w:w="1541"/>
        <w:gridCol w:w="236"/>
        <w:gridCol w:w="1890"/>
      </w:tblGrid>
      <w:tr>
        <w:trPr>
          <w:trHeight w:val="180" w:hRule="atLeast"/>
        </w:trPr>
        <w:tc>
          <w:tcPr>
            <w:tcW w:w="5939" w:type="dxa"/>
            <w:gridSpan w:val="9"/>
            <w:tcBorders/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left="72" w:right="-190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</w:t>
            </w:r>
            <w:r>
              <w:rPr>
                <w:sz w:val="20"/>
                <w:szCs w:val="20"/>
              </w:rPr>
              <w:t>1.Техническое состояние транспортного средства -</w:t>
            </w:r>
          </w:p>
        </w:tc>
        <w:tc>
          <w:tcPr>
            <w:tcW w:w="1236" w:type="dxa"/>
            <w:gridSpan w:val="2"/>
            <w:tcBorders>
              <w:right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972" w:leader="none"/>
              </w:tabs>
              <w:ind w:right="-105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исправное</w:t>
            </w:r>
          </w:p>
        </w:tc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left="-108" w:right="-52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ind w:right="-10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неисправное</w:t>
            </w:r>
          </w:p>
        </w:tc>
        <w:tc>
          <w:tcPr>
            <w:tcW w:w="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tabs>
                <w:tab w:val="clear" w:pos="708"/>
                <w:tab w:val="left" w:pos="1110" w:leader="none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890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180" w:hRule="atLeast"/>
        </w:trPr>
        <w:tc>
          <w:tcPr>
            <w:tcW w:w="2159" w:type="dxa"/>
            <w:gridSpan w:val="2"/>
            <w:tcBorders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108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</w:t>
            </w:r>
            <w:r>
              <w:rPr>
                <w:sz w:val="20"/>
                <w:szCs w:val="20"/>
              </w:rPr>
              <w:t>Работоспособное</w:t>
            </w:r>
          </w:p>
        </w:tc>
        <w:tc>
          <w:tcPr>
            <w:tcW w:w="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2280" w:type="dxa"/>
            <w:gridSpan w:val="3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12" w:right="-78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неработоспособное</w:t>
            </w:r>
          </w:p>
        </w:tc>
        <w:tc>
          <w:tcPr>
            <w:tcW w:w="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260" w:type="dxa"/>
            <w:gridSpan w:val="4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предельное состояние</w:t>
            </w:r>
          </w:p>
        </w:tc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08"/>
                <w:tab w:val="left" w:pos="-801" w:leader="none"/>
              </w:tabs>
              <w:ind w:left="-81" w:right="-78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541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36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90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15" w:hRule="atLeast"/>
        </w:trPr>
        <w:tc>
          <w:tcPr>
            <w:tcW w:w="654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450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2.Идентификационный номер (VIN) </w:t>
            </w:r>
          </w:p>
        </w:tc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1455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Соответствует</w:t>
            </w:r>
          </w:p>
        </w:tc>
        <w:tc>
          <w:tcPr>
            <w:tcW w:w="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5016" w:type="dxa"/>
            <w:gridSpan w:val="5"/>
            <w:tcBorders/>
            <w:shd w:fill="auto" w:val="clear"/>
            <w:vAlign w:val="bottom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соответствует регистрационным данным</w:t>
            </w:r>
          </w:p>
        </w:tc>
      </w:tr>
    </w:tbl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Normal"/>
        <w:jc w:val="center"/>
        <w:rPr>
          <w:b/>
          <w:b/>
          <w:sz w:val="20"/>
          <w:szCs w:val="20"/>
        </w:rPr>
      </w:pPr>
      <w:r>
        <w:rPr>
          <w:b/>
          <w:sz w:val="20"/>
          <w:szCs w:val="20"/>
        </w:rPr>
        <w:t>ОСМОТРОМ УСТАНОВЛЕНО:</w:t>
      </w:r>
    </w:p>
    <w:p>
      <w:pPr>
        <w:pStyle w:val="Normal"/>
        <w:ind w:left="-340" w:right="170" w:hanging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Марка, модель, модификация объекта осмотра, основные конструктивные и функциональные параметры ТС и его агрегатов, узлов и механизмов, соответствуют записям в регистрационных документах. </w:t>
      </w:r>
    </w:p>
    <w:p>
      <w:pPr>
        <w:pStyle w:val="Normal"/>
        <w:jc w:val="both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10541" w:type="dxa"/>
        <w:jc w:val="left"/>
        <w:tblInd w:w="-284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444"/>
        <w:gridCol w:w="6159"/>
        <w:gridCol w:w="960"/>
        <w:gridCol w:w="1"/>
        <w:gridCol w:w="959"/>
        <w:gridCol w:w="1"/>
        <w:gridCol w:w="188"/>
        <w:gridCol w:w="567"/>
        <w:gridCol w:w="204"/>
        <w:gridCol w:w="1"/>
        <w:gridCol w:w="362"/>
        <w:gridCol w:w="596"/>
        <w:gridCol w:w="3"/>
        <w:gridCol w:w="95"/>
      </w:tblGrid>
      <w:tr>
        <w:trPr>
          <w:trHeight w:val="255" w:hRule="atLeast"/>
        </w:trPr>
        <w:tc>
          <w:tcPr>
            <w:tcW w:w="10540" w:type="dxa"/>
            <w:gridSpan w:val="14"/>
            <w:tcBorders/>
            <w:shd w:fill="auto" w:val="clear"/>
            <w:vAlign w:val="bottom"/>
          </w:tcPr>
          <w:p>
            <w:pPr>
              <w:pStyle w:val="Normal"/>
              <w:jc w:val="center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Повреждения, выявленные в ходе осмотра:</w:t>
            </w:r>
          </w:p>
          <w:p>
            <w:pPr>
              <w:pStyle w:val="Normal"/>
              <w:jc w:val="center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</w:r>
          </w:p>
        </w:tc>
      </w:tr>
      <w:tr>
        <w:trPr>
          <w:trHeight w:val="43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</w:p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п/п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Деталь, характер, вид и объем ее повреждения.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Рем</w:t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Зам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Окр</w:t>
            </w:r>
          </w:p>
        </w:tc>
      </w:tr>
      <w:tr>
        <w:trPr>
          <w:trHeight w:val="111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Бампер передний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правая – разрушение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Крыло переднее правое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Спойлер переднего бампера – разрывы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Расширитель арки передней правой – разрывы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</w:t>
            </w:r>
          </w:p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п/п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Деталь, характер, вид и объем ее повреждения.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Рем</w:t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Зам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Окр</w:t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ПТФ передняя правая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Решетка в бампер передний правая + молдинг – утрата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Диск литой передний правый – срезы и задиры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Подкрылок передний правый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Решетка в бампер центральная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Пыльник панели радиаторов правый боковой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Стойка ветрового стекла правая – НЛКП в нижней части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Дверь передняя правая – НЛКП в виде царапин в передней торцевой части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Решетка в бампер центральная верхняя – разрывы пластика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Направляющая фары правой нижняя – деформация в виде изгиба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Абсорбер переднего бампера – разрывы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Кронштейн крыла переднего правого передний верхний – разрушение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</w:t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Устранение перекоса капота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2.0</w:t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826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6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255" w:hRule="atLeast"/>
        </w:trPr>
        <w:tc>
          <w:tcPr>
            <w:tcW w:w="10540" w:type="dxa"/>
            <w:gridSpan w:val="1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Принятые сокращения: ИРЖ - ДРЖ - с деформацией ребер жесткости; ОС - острые складки; СМ - с образованием складок материала; РМ - с образованием разрыва материала; ТДМ - в труднодоступном месте; РЕМ - ремонт; ЗАМ - замена; ЗАМ Ч - частичная замена; УП - устранение перекоса; ОКР - окраска; ДИАГН - диагностика; ЛЕВ - левая; ПР - правая; ЗАД - задняя; ПЕР - передняя; ТС - транспортное средство. </w:t>
            </w:r>
          </w:p>
        </w:tc>
      </w:tr>
      <w:tr>
        <w:trPr>
          <w:trHeight w:val="348" w:hRule="atLeast"/>
        </w:trPr>
        <w:tc>
          <w:tcPr>
            <w:tcW w:w="10540" w:type="dxa"/>
            <w:gridSpan w:val="14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</w:tc>
      </w:tr>
      <w:tr>
        <w:trPr>
          <w:trHeight w:val="348" w:hRule="atLeast"/>
        </w:trPr>
        <w:tc>
          <w:tcPr>
            <w:tcW w:w="10540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b/>
                <w:i/>
                <w:color w:val="000000"/>
                <w:sz w:val="18"/>
                <w:szCs w:val="18"/>
                <w:u w:val="single"/>
              </w:rPr>
              <w:t xml:space="preserve">Дефекты эксплуатации: </w:t>
            </w:r>
          </w:p>
        </w:tc>
      </w:tr>
      <w:tr>
        <w:trPr>
          <w:trHeight w:val="348" w:hRule="atLeast"/>
        </w:trPr>
        <w:tc>
          <w:tcPr>
            <w:tcW w:w="10540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napToGrid w:val="false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>
          <w:trHeight w:val="300" w:hRule="atLeast"/>
        </w:trPr>
        <w:tc>
          <w:tcPr>
            <w:tcW w:w="6603" w:type="dxa"/>
            <w:gridSpan w:val="2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Возможны  скрытые повреждения в зоне аварийных повреждений:</w:t>
            </w:r>
          </w:p>
        </w:tc>
        <w:tc>
          <w:tcPr>
            <w:tcW w:w="9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960" w:type="dxa"/>
            <w:gridSpan w:val="2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9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961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95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660" w:hRule="atLeast"/>
        </w:trPr>
        <w:tc>
          <w:tcPr>
            <w:tcW w:w="10442" w:type="dxa"/>
            <w:gridSpan w:val="12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учетом выявленных повреждений ТС, обстоятельств, исследовав характер и механизм образования повреждений, их расположение, предварительно, можно предположить, что:</w:t>
            </w:r>
          </w:p>
        </w:tc>
        <w:tc>
          <w:tcPr>
            <w:tcW w:w="98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563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могут являться следствием данного происшествия</w:t>
            </w:r>
          </w:p>
        </w:tc>
        <w:tc>
          <w:tcPr>
            <w:tcW w:w="9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</w:t>
            </w:r>
          </w:p>
        </w:tc>
        <w:tc>
          <w:tcPr>
            <w:tcW w:w="960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63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96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8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>
          <w:trHeight w:val="300" w:hRule="atLeast"/>
        </w:trPr>
        <w:tc>
          <w:tcPr>
            <w:tcW w:w="7563" w:type="dxa"/>
            <w:gridSpan w:val="3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Вышеуказанные повреждения не могут являться следствием данного происшествия</w:t>
            </w:r>
          </w:p>
        </w:tc>
        <w:tc>
          <w:tcPr>
            <w:tcW w:w="96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960" w:type="dxa"/>
            <w:gridSpan w:val="4"/>
            <w:tcBorders/>
            <w:shd w:fill="auto" w:val="clear"/>
            <w:vAlign w:val="bottom"/>
          </w:tcPr>
          <w:p>
            <w:pPr>
              <w:pStyle w:val="Normal"/>
              <w:spacing w:before="0" w:after="4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363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596" w:type="dxa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8" w:type="dxa"/>
            <w:gridSpan w:val="2"/>
            <w:tcBorders/>
            <w:shd w:fill="auto" w:val="clea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ind w:right="-360" w:hanging="0"/>
        <w:jc w:val="both"/>
        <w:rPr>
          <w:b/>
          <w:b/>
          <w:sz w:val="20"/>
          <w:szCs w:val="20"/>
        </w:rPr>
      </w:pPr>
      <w:r>
        <w:rPr>
          <w:b/>
          <w:sz w:val="20"/>
          <w:szCs w:val="20"/>
        </w:rPr>
      </w:r>
    </w:p>
    <w:tbl>
      <w:tblPr>
        <w:tblW w:w="10490" w:type="dxa"/>
        <w:jc w:val="left"/>
        <w:tblInd w:w="-287" w:type="dxa"/>
        <w:tblBorders>
          <w:top w:val="single" w:sz="4" w:space="0" w:color="000000"/>
          <w:left w:val="double" w:sz="2" w:space="0" w:color="000000"/>
          <w:right w:val="double" w:sz="2" w:space="0" w:color="000000"/>
          <w:insideV w:val="double" w:sz="2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10490"/>
      </w:tblGrid>
      <w:tr>
        <w:trPr>
          <w:trHeight w:val="560" w:hRule="atLeast"/>
        </w:trPr>
        <w:tc>
          <w:tcPr>
            <w:tcW w:w="10490" w:type="dxa"/>
            <w:tcBorders>
              <w:top w:val="single" w:sz="4" w:space="0" w:color="000000"/>
              <w:left w:val="double" w:sz="2" w:space="0" w:color="000000"/>
              <w:right w:val="double" w:sz="2" w:space="0" w:color="000000"/>
              <w:insideV w:val="double" w:sz="2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color w:val="000000"/>
                <w:sz w:val="20"/>
                <w:szCs w:val="20"/>
              </w:rPr>
            </w:pPr>
            <w:r>
              <w:rPr>
                <w:b/>
                <w:i/>
                <w:color w:val="000000"/>
                <w:sz w:val="18"/>
                <w:szCs w:val="18"/>
                <w:u w:val="single"/>
              </w:rPr>
              <w:t>Особое мнение:</w:t>
            </w:r>
          </w:p>
        </w:tc>
      </w:tr>
      <w:tr>
        <w:trPr>
          <w:trHeight w:val="285" w:hRule="atLeast"/>
        </w:trPr>
        <w:tc>
          <w:tcPr>
            <w:tcW w:w="10490" w:type="dxa"/>
            <w:tcBorders>
              <w:top w:val="single" w:sz="4" w:space="0" w:color="000000"/>
              <w:left w:val="double" w:sz="2" w:space="0" w:color="000000"/>
              <w:bottom w:val="single" w:sz="4" w:space="0" w:color="000000"/>
              <w:right w:val="double" w:sz="2" w:space="0" w:color="000000"/>
              <w:insideH w:val="single" w:sz="4" w:space="0" w:color="000000"/>
              <w:insideV w:val="double" w:sz="2" w:space="0" w:color="000000"/>
            </w:tcBorders>
            <w:shd w:fill="auto" w:val="clear"/>
          </w:tcPr>
          <w:p>
            <w:pPr>
              <w:pStyle w:val="Normal"/>
              <w:snapToGrid w:val="false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</w:tbl>
    <w:p>
      <w:pPr>
        <w:pStyle w:val="Normal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ind w:left="-284" w:hanging="0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Акт составлен по наружному осмотру в нашем присутствии. С перечнем поврежденных деталей, характером, объемами и видами повреждений ТС ознакомлены и согласны.</w:t>
      </w:r>
    </w:p>
    <w:p>
      <w:pPr>
        <w:pStyle w:val="Normal"/>
        <w:ind w:left="-284" w:hanging="0"/>
        <w:jc w:val="both"/>
        <w:rPr>
          <w:b/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</w:r>
    </w:p>
    <w:p>
      <w:pPr>
        <w:pStyle w:val="Normal"/>
        <w:ind w:left="-284" w:hanging="0"/>
        <w:jc w:val="both"/>
        <w:rPr>
          <w:sz w:val="20"/>
          <w:szCs w:val="20"/>
        </w:rPr>
      </w:pPr>
      <w:r>
        <w:rPr>
          <w:sz w:val="20"/>
          <w:szCs w:val="20"/>
        </w:rPr>
        <w:t>При осмотре присутствовали</w:t>
      </w:r>
    </w:p>
    <w:p>
      <w:pPr>
        <w:pStyle w:val="Normal"/>
        <w:ind w:left="-284" w:hanging="0"/>
        <w:jc w:val="both"/>
        <w:rPr>
          <w:sz w:val="20"/>
          <w:szCs w:val="20"/>
        </w:rPr>
      </w:pPr>
      <w:r>
        <w:rPr>
          <w:sz w:val="20"/>
          <w:szCs w:val="20"/>
        </w:rPr>
        <w:t>Эксперт-техник ___________________________/ Григорьев М.А</w:t>
      </w:r>
    </w:p>
    <w:p>
      <w:pPr>
        <w:pStyle w:val="Normal"/>
        <w:ind w:left="-284" w:hanging="0"/>
        <w:jc w:val="both"/>
        <w:rPr>
          <w:sz w:val="20"/>
          <w:szCs w:val="20"/>
        </w:rPr>
      </w:pPr>
      <w:r>
        <w:rPr>
          <w:sz w:val="20"/>
          <w:szCs w:val="20"/>
        </w:rPr>
        <w:t>Заказчик    __________________________________________________________________________/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ind w:left="-284" w:hanging="0"/>
        <w:jc w:val="both"/>
        <w:rPr>
          <w:sz w:val="20"/>
          <w:szCs w:val="20"/>
        </w:rPr>
      </w:pPr>
      <w:r>
        <w:rPr>
          <w:sz w:val="20"/>
          <w:szCs w:val="20"/>
        </w:rPr>
        <w:t>Владелец автомобиля (доверенное лицо) _______________________________________________/</w:t>
      </w:r>
      <w:r>
        <w:rPr>
          <w:color w:val="000000"/>
          <w:sz w:val="20"/>
          <w:szCs w:val="20"/>
        </w:rPr>
        <w:t xml:space="preserve"> __________________/</w:t>
      </w:r>
    </w:p>
    <w:p>
      <w:pPr>
        <w:pStyle w:val="Normal"/>
        <w:ind w:left="-284" w:hanging="0"/>
        <w:jc w:val="both"/>
        <w:rPr>
          <w:sz w:val="20"/>
          <w:szCs w:val="20"/>
        </w:rPr>
      </w:pPr>
      <w:r>
        <w:rPr>
          <w:sz w:val="20"/>
          <w:szCs w:val="20"/>
        </w:rPr>
        <w:t>Другие заинтересованные лица ________________________________________________________/__________________/</w:t>
      </w:r>
    </w:p>
    <w:p>
      <w:pPr>
        <w:pStyle w:val="Normal"/>
        <w:jc w:val="center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№2</w:t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rFonts w:eastAsia="Arial Unicode MS"/>
        </w:rPr>
      </w:pPr>
      <w:r>
        <w:rPr>
          <w:rFonts w:eastAsia="Arial Unicode MS"/>
        </w:rPr>
        <w:t>Калькуляция по определению стоимости восстановительного ремонта</w:t>
      </w:r>
    </w:p>
    <w:p>
      <w:pPr>
        <w:pStyle w:val="Normal"/>
        <w:jc w:val="center"/>
        <w:rPr/>
      </w:pPr>
      <w:r>
        <w:rPr>
          <w:rFonts w:eastAsia="Arial Unicode MS"/>
        </w:rPr>
        <w:t xml:space="preserve"> </w:t>
      </w:r>
      <w:r>
        <w:rPr>
          <w:rFonts w:eastAsia="Arial Unicode MS"/>
        </w:rPr>
        <w:t xml:space="preserve">транспортного средства </w:t>
      </w:r>
      <w:r>
        <w:rPr/>
        <w:t>BMW X6 xDrive30d VIN</w:t>
      </w:r>
      <w:r>
        <w:rPr>
          <w:rFonts w:eastAsia="Arial Unicode MS"/>
        </w:rPr>
        <w:t xml:space="preserve">: </w:t>
      </w:r>
      <w:r>
        <w:rPr>
          <w:rFonts w:eastAsia="Arial Unicode MS"/>
          <w:color w:val="000000"/>
        </w:rPr>
        <w:t>********</w:t>
      </w:r>
    </w:p>
    <w:p>
      <w:pPr>
        <w:pStyle w:val="Normal"/>
        <w:jc w:val="center"/>
        <w:rPr>
          <w:color w:val="000000"/>
        </w:rPr>
      </w:pPr>
      <w:r>
        <w:rPr>
          <w:color w:val="00000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Стоимость </w:t>
      </w:r>
      <w:r>
        <w:rPr>
          <w:rStyle w:val="Strong"/>
          <w:rFonts w:cs="Times New Roman" w:ascii="Times New Roman" w:hAnsi="Times New Roman"/>
          <w:b/>
          <w:sz w:val="20"/>
          <w:szCs w:val="20"/>
        </w:rPr>
        <w:t>ремонтных воздействий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4"/>
        <w:gridCol w:w="4611"/>
        <w:gridCol w:w="1"/>
        <w:gridCol w:w="1290"/>
        <w:gridCol w:w="924"/>
        <w:gridCol w:w="924"/>
        <w:gridCol w:w="1422"/>
      </w:tblGrid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время к основной работе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боков. передн. прав.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передн. бампера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1 452,50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передн. бампера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2 047,50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порога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задн.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прав. - замена (при снятом)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Деталь облицовки передн. бампера нижн.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время к основной работе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арки передн. прав. колеса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противотуманная - регулировка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противотуманная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воздуховода передн. бампера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Проверка шины на проколы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Диск/шина передн. прав. колеса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Колесо передн.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Подкрылок передн. прав. колеса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Воздуховод радиатора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Опора передн. бампера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1 172,50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Зеркало наружн.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Ручка передн. двери прав. наружн.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Стекло передн. прав. двери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Шумоизоляция передн. прав. двери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1 172,50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Направляющая стекла передн. прав. двери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рамки стекла передн. прав. двери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Уплотнитель передн. прав. окна внутр.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передн. прав. двери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Стеклоподъемник передн.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воздухозаборника передн. бампера верхн.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Элемент деформационный передн. прав. - замена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2 765,00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модуля крыла передн.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прав.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1 015,00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Кузов - устранение несложного перекоса - ремонт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3 500,00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- регулировка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297,50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Крышка наливной горловины топливного бака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0,08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Идентификация производителя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525,00</w:t>
            </w:r>
          </w:p>
        </w:tc>
      </w:tr>
      <w:tr>
        <w:trPr/>
        <w:tc>
          <w:tcPr>
            <w:tcW w:w="5165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1" w:type="dxa"/>
            <w:gridSpan w:val="5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26 180,00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работ по окраске/контролю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2"/>
        <w:gridCol w:w="4614"/>
        <w:gridCol w:w="1293"/>
        <w:gridCol w:w="924"/>
        <w:gridCol w:w="921"/>
        <w:gridCol w:w="1422"/>
      </w:tblGrid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Annotationtext"/>
              <w:jc w:val="center"/>
              <w:rPr/>
            </w:pPr>
            <w:r>
              <w:rPr/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- окраска новой части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1 925,00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 к основной работе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прав. - окраска новой части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1 225,00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Стойка передн. прав. - окраска наружных поверхностей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1 050,00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передн. прав. - окраска наружных поверхностей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Подбор колера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525,00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Выкрас образца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525,00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11 550,00 РУБ.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ремонтных работ: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37 730,00 РУБ.</w:t>
            </w:r>
          </w:p>
        </w:tc>
      </w:tr>
    </w:tbl>
    <w:p>
      <w:pPr>
        <w:pStyle w:val="16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запасных частей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4"/>
        <w:gridCol w:w="2700"/>
        <w:gridCol w:w="1260"/>
        <w:gridCol w:w="541"/>
        <w:gridCol w:w="359"/>
        <w:gridCol w:w="900"/>
        <w:gridCol w:w="1260"/>
        <w:gridCol w:w="2476"/>
      </w:tblGrid>
      <w:tr>
        <w:trPr>
          <w:trHeight w:val="427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Износ (%)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102"/>
              <w:rPr>
                <w:lang w:eastAsia="ru-RU"/>
              </w:rPr>
            </w:pPr>
            <w:r>
              <w:rPr>
                <w:lang w:eastAsia="ru-RU"/>
              </w:rPr>
              <w:t>Каталожный номер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132 153,00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95 282,31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51 11 7 422 898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прав. в сборе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333 182,00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240 224,22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63 11 7 442 648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Крыло передн. прав.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112 462,00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81 085,10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51 65 7 418 956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передн. нижн. часть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17 511,00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12 625,43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51 11 7 319 796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арки передн. прав.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10 503,00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7 572,66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51 77 7 319 844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противотуманная прав.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17 814,00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12 843,89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63 17 7 317 252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воздуховода бампера прав.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4 672,00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3 368,51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51 11 7 319 778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передн. прав. наружн.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3 755,00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2 707,36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51 11 7 343 260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Диск передн. прав. колеса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72 723,00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52 433,28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36 11 6 858 525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арки передн. прав. колеса передн.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9 062,00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6 533,70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51 71 7 335 112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воздухозаборника нижн.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4 818,00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3 473,78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51 11 7 319 768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Воздуховод радиатора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69 543,00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50 140,50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51 74 7 343 798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воздуховода верхн.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3 842,00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2 770,08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51 11 7 319 767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прав. фары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4 566,00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3 292,09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51 64 7 294 492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Буфер противоударный передн.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5 772,00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4 161,61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51 11 7 319 770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модуля боков. прав.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11 002,00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7 932,44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51 64 7 294 544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Вставка передн. бампера прав.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9 939,00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7 166,02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51 11 7 319 800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мелких деталей (2,00%):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16 466,38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839 785,38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 с износом: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593 613,00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материалов</w:t>
      </w:r>
    </w:p>
    <w:tbl>
      <w:tblPr>
        <w:tblW w:w="10036" w:type="dxa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8"/>
        <w:gridCol w:w="4501"/>
        <w:gridCol w:w="1260"/>
        <w:gridCol w:w="1260"/>
        <w:gridCol w:w="2477"/>
      </w:tblGrid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Standoflex Plastic-Primer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12 600,00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0,06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756,00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Standoflex Verdunnung 11100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476,00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 Platinum Hardener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1 137,50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Лак</w:t>
            </w:r>
            <w:r>
              <w:rPr>
                <w:sz w:val="20"/>
                <w:szCs w:val="20"/>
                <w:lang w:val="en-US"/>
              </w:rPr>
              <w:t xml:space="preserve"> Standocryl 2K-Platinum-Klarlack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6 300,00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0,43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2 709,00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для очистки Standox T2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1 680,00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Грунт</w:t>
            </w:r>
            <w:r>
              <w:rPr>
                <w:sz w:val="20"/>
                <w:szCs w:val="20"/>
                <w:lang w:val="en-US"/>
              </w:rPr>
              <w:t xml:space="preserve"> 2K-Primer Rotbraun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0,36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1 638,00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Отвердитель</w:t>
            </w:r>
            <w:r>
              <w:rPr>
                <w:sz w:val="20"/>
                <w:szCs w:val="20"/>
                <w:lang w:val="en-US"/>
              </w:rPr>
              <w:t xml:space="preserve"> Standox 2K-Hardener MS (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4 550,00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409,50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50,31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301,86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50,31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301,86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Водостойкая наждачная бумага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47,66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285,96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Готовая основа Standox Basislack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6 300,00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3 780,00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Растворитель Standox MSB-Verdunnung (л)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2 800,00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840,00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Липкая протирочная салфетка (шт)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139,81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838,86</w:t>
            </w:r>
          </w:p>
        </w:tc>
      </w:tr>
      <w:tr>
        <w:trPr/>
        <w:tc>
          <w:tcPr>
            <w:tcW w:w="5039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7" w:type="dxa"/>
            <w:gridSpan w:val="3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15 154,54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ВСЕГО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514"/>
        <w:gridCol w:w="3516"/>
      </w:tblGrid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(с учетом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662 963,92 РУБ.</w:t>
            </w:r>
          </w:p>
        </w:tc>
      </w:tr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восстановительного ремонта КТС (без учета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892 669,92 РУБ.</w:t>
            </w:r>
          </w:p>
        </w:tc>
      </w:tr>
    </w:tbl>
    <w:p>
      <w:pPr>
        <w:pStyle w:val="Default"/>
        <w:spacing w:before="0" w:after="0"/>
        <w:jc w:val="center"/>
        <w:rPr>
          <w:rFonts w:ascii="Times New Roman" w:hAnsi="Times New Roman" w:cs="Times New Roman"/>
          <w:b/>
          <w:b/>
          <w:sz w:val="20"/>
        </w:rPr>
      </w:pPr>
      <w:r>
        <w:rPr>
          <w:rFonts w:cs="Times New Roman" w:ascii="Times New Roman" w:hAnsi="Times New Roman"/>
          <w:b/>
          <w:sz w:val="20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</w:rPr>
        <w:t>Специалист                                                                     _________________ Григорьев М.А.</w:t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№3</w:t>
        <w:tab/>
      </w:r>
    </w:p>
    <w:p>
      <w:pPr>
        <w:pStyle w:val="Normal"/>
        <w:jc w:val="both"/>
        <w:rPr/>
      </w:pPr>
      <w:r>
        <w:rPr>
          <w:b/>
        </w:rPr>
        <w:t>*</w:t>
      </w:r>
      <w:r>
        <w:rPr>
          <w:b/>
          <w:sz w:val="20"/>
          <w:szCs w:val="20"/>
        </w:rPr>
        <w:t xml:space="preserve">фотоматериал зафиксированных повреждений, возможно получить в электронном виде, выслав запрос на почту </w:t>
      </w:r>
      <w:hyperlink r:id="rId26">
        <w:r>
          <w:rPr>
            <w:rStyle w:val="Style11"/>
            <w:b/>
            <w:bCs/>
            <w:sz w:val="20"/>
            <w:szCs w:val="20"/>
            <w:lang w:val="en-US"/>
          </w:rPr>
          <w:t>euro</w:t>
        </w:r>
        <w:r>
          <w:rPr>
            <w:rStyle w:val="Style11"/>
            <w:b/>
            <w:bCs/>
            <w:sz w:val="20"/>
            <w:szCs w:val="20"/>
          </w:rPr>
          <w:t>.</w:t>
        </w:r>
        <w:r>
          <w:rPr>
            <w:rStyle w:val="Style11"/>
            <w:b/>
            <w:bCs/>
            <w:sz w:val="20"/>
            <w:szCs w:val="20"/>
            <w:lang w:val="en-US"/>
          </w:rPr>
          <w:t>otsenka</w:t>
        </w:r>
        <w:r>
          <w:rPr>
            <w:rStyle w:val="Style11"/>
            <w:b/>
            <w:bCs/>
            <w:sz w:val="20"/>
            <w:szCs w:val="20"/>
          </w:rPr>
          <w:t>@</w:t>
        </w:r>
        <w:r>
          <w:rPr>
            <w:rStyle w:val="Style11"/>
            <w:b/>
            <w:bCs/>
            <w:sz w:val="20"/>
            <w:szCs w:val="20"/>
            <w:lang w:val="en-US"/>
          </w:rPr>
          <w:t>gmail</w:t>
        </w:r>
        <w:r>
          <w:rPr>
            <w:rStyle w:val="Style11"/>
            <w:b/>
            <w:bCs/>
            <w:sz w:val="20"/>
            <w:szCs w:val="20"/>
          </w:rPr>
          <w:t>.</w:t>
        </w:r>
        <w:r>
          <w:rPr>
            <w:rStyle w:val="Style11"/>
            <w:b/>
            <w:bCs/>
            <w:sz w:val="20"/>
            <w:szCs w:val="20"/>
            <w:lang w:val="en-US"/>
          </w:rPr>
          <w:t>com</w:t>
        </w:r>
      </w:hyperlink>
      <w:r>
        <w:rPr>
          <w:b/>
          <w:bCs/>
          <w:sz w:val="20"/>
          <w:szCs w:val="20"/>
        </w:rPr>
        <w:t xml:space="preserve"> </w: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tbl>
      <w:tblPr>
        <w:tblW w:w="11057" w:type="dxa"/>
        <w:jc w:val="left"/>
        <w:tblInd w:w="-57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321"/>
        <w:gridCol w:w="5735"/>
      </w:tblGrid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" name="imgBROWS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BROWS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9" name="imgBROWS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BROWS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0" name="imgBROWSE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BROWSE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1" name="imgBROWSE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BROWSE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2" name="imgBROWSE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BROWSE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3" name="imgBROWSE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BROWSE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4" name="imgBROWSE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BROWSE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5" name="imgBROWSE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BROWSE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6" name="imgBROWSE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BROWSE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7" name="imgBROWSE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BROWSE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8" name="imgBROWSE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BROWSE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29" name="imgBROWSE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BROWSE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0" name="imgBROWSE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BROWSE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1" name="imgBROWSE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BROWSE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2" name="imgBROWSE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BROWSE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3" name="imgBROWSE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BROWSE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4" name="imgBROWSE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BROWSE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5" name="imgBROWSE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BROWSE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6" name="imgBROWSE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BROWSE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7" name="imgBROWSE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BROWSE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8" name="imgBROWSE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BROWSE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39" name="imgBROWSE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BROWSE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0" name="imgBROWSE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BROWSE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1" name="imgBROWSE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BROWSE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2" name="imgBROWSE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BROWSE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3" name="imgBROWSE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BROWSE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4" name="imgBROWSE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BROWSE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5" name="imgBROWSE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BROWSE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6" name="imgBROWSE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BROWSE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7" name="imgBROWSE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BROWSE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8" name="imgBROWSE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gBROWSE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49" name="imgBROWSE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gBROWSE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0" name="imgBROWSE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BROWSE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1" name="imgBROWSE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BROWSE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2" name="imgBROWSE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gBROWSE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3" name="imgBROWSE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BROWSE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4" name="imgBROWSE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BROWSE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5" name="imgBROWSE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BROWSE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6" name="imgBROWSE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gBROWSE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7" name="imgBROWSE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BROWSE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8" name="imgBROWSE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gBROWSE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9" name="imgBROWSE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gBROWSE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0" name="imgBROWSE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gBROWSE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1" name="imgBROWSE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gBROWSE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2" name="imgBROWSE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BROWSE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3" name="imgBROWSE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gBROWSE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4" name="imgBROWSE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gBROWSE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5" name="imgBROWSE6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gBROWSE6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6" name="imgBROWSE6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BROWSE6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7" name="imgBROWSE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BROWSE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8" name="imgBROWSE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gBROWSE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9" name="imgBROWSE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gBROWSE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0" name="imgBROWSE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gBROWSE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</w:tbl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 xml:space="preserve">     </w:t>
      </w:r>
      <w:r>
        <w:rPr>
          <w:b/>
        </w:rPr>
        <w:t>ПРИЛОЖЕНИЕ №5</w:t>
        <w:tab/>
      </w:r>
    </w:p>
    <w:p>
      <w:pPr>
        <w:pStyle w:val="Normal"/>
        <w:jc w:val="center"/>
        <w:rPr/>
      </w:pPr>
      <w:r>
        <w:rPr/>
        <w:t>Документы специалистов</w:t>
        <w:br/>
      </w:r>
    </w:p>
    <w:tbl>
      <w:tblPr>
        <w:tblStyle w:val="ab"/>
        <w:tblW w:w="1034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67"/>
        <w:gridCol w:w="5380"/>
      </w:tblGrid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635" distL="0" distR="0">
                  <wp:extent cx="2938780" cy="4095115"/>
                  <wp:effectExtent l="0" t="0" r="0" b="0"/>
                  <wp:docPr id="71" name="Рисунок 151" descr="C:\Users\smena\AppData\Local\Microsoft\Windows\INetCache\Content.Word\Сертификат Пользователя ПО Аудатэкс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151" descr="C:\Users\smena\AppData\Local\Microsoft\Windows\INetCache\Content.Word\Сертификат Пользователя ПО Аудатэкс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409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0" distL="0" distR="0">
                  <wp:extent cx="3124200" cy="4133850"/>
                  <wp:effectExtent l="0" t="0" r="0" b="0"/>
                  <wp:docPr id="72" name="Рисунок 1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1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9525" distL="0" distR="0">
                  <wp:extent cx="3067050" cy="4371975"/>
                  <wp:effectExtent l="0" t="0" r="0" b="0"/>
                  <wp:docPr id="73" name="Рисунок 1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1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mc:AlternateContent>
                <mc:Choice Requires="wps">
                  <w:drawing>
                    <wp:inline distT="0" distB="0" distL="0" distR="0" wp14:anchorId="458C82B6">
                      <wp:extent cx="4401185" cy="3324860"/>
                      <wp:effectExtent l="4762" t="0" r="4763" b="4762"/>
                      <wp:docPr id="74" name="Рисунок 6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Рисунок 6" descr=""/>
                              <pic:cNvPicPr/>
                            </pic:nvPicPr>
                            <pic:blipFill>
                              <a:blip r:embed="rId83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4400640" cy="33242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Рисунок 6" stroked="f" style="position:absolute;margin-left:-42.35pt;margin-top:-304.2pt;width:346.45pt;height:261.7pt;rotation:270;mso-position-vertical:top" wp14:anchorId="458C82B6" type="shapetype_75">
                      <v:imagedata r:id="rId83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>
      <w:pPr>
        <w:pStyle w:val="Normal"/>
        <w:jc w:val="center"/>
        <w:rPr/>
      </w:pPr>
      <w:r>
        <w:rPr/>
      </w:r>
    </w:p>
    <w:sectPr>
      <w:headerReference w:type="default" r:id="rId84"/>
      <w:footerReference w:type="default" r:id="rId85"/>
      <w:type w:val="nextPage"/>
      <w:pgSz w:w="11906" w:h="16838"/>
      <w:pgMar w:left="1134" w:right="424" w:header="227" w:top="851" w:footer="0" w:bottom="851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Arial Narrow">
    <w:charset w:val="01"/>
    <w:family w:val="roman"/>
    <w:pitch w:val="variable"/>
  </w:font>
  <w:font w:name="Arial Unicode MS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Vanta Light">
    <w:charset w:val="01"/>
    <w:family w:val="roman"/>
    <w:pitch w:val="variable"/>
  </w:font>
  <w:font w:name="Myriad Pro Cond">
    <w:charset w:val="01"/>
    <w:family w:val="roman"/>
    <w:pitch w:val="variable"/>
  </w:font>
  <w:font w:name="Courier New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  <w:font w:name="Times New Roman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1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2</w:t>
    </w:r>
    <w:r>
      <w:rPr/>
      <w:fldChar w:fldCharType="end"/>
    </w:r>
  </w:p>
  <w:p>
    <w:pPr>
      <w:pStyle w:val="Style31"/>
      <w:rPr/>
    </w:pPr>
    <w:r>
      <w:rPr/>
    </w:r>
  </w:p>
  <w:p>
    <w:pPr>
      <w:pStyle w:val="Normal"/>
      <w:rPr/>
    </w:pPr>
    <w:r>
      <w:rPr/>
    </w:r>
  </w:p>
  <w:p>
    <w:pPr>
      <w:pStyle w:val="Normal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0"/>
      <w:pBdr>
        <w:bottom w:val="thickThinSmallGap" w:sz="24" w:space="1" w:color="823B0B"/>
      </w:pBdr>
      <w:jc w:val="center"/>
      <w:rPr>
        <w:b/>
        <w:b/>
        <w:szCs w:val="32"/>
      </w:rPr>
    </w:pPr>
    <w:r>
      <w:rPr>
        <w:b/>
        <w:szCs w:val="32"/>
        <w:lang w:val="ru-RU"/>
      </w:rPr>
      <w:t>Заключение</w:t>
    </w:r>
    <w:r>
      <w:rPr>
        <w:b/>
        <w:szCs w:val="32"/>
      </w:rPr>
      <w:t xml:space="preserve"> </w:t>
    </w:r>
    <w:r>
      <w:rPr>
        <w:b/>
      </w:rPr>
      <w:t>№</w:t>
    </w:r>
    <w:r>
      <w:rPr>
        <w:b/>
        <w:bCs/>
        <w:color w:val="000000" w:themeColor="text1"/>
      </w:rPr>
      <w:t xml:space="preserve">5916-0423                                                                </w:t>
    </w:r>
    <w:r>
      <w:rPr>
        <w:b/>
        <w:szCs w:val="32"/>
      </w:rPr>
      <w:t>Европейский Центр Оценки</w:t>
    </w:r>
  </w:p>
  <w:p>
    <w:pPr>
      <w:pStyle w:val="Normal"/>
      <w:rPr>
        <w:lang w:val="x-none"/>
      </w:rPr>
    </w:pPr>
    <w:r>
      <w:rPr>
        <w:lang w:val="x-none"/>
      </w:rPr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Times New Roman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Times New Roman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lvl w:ilvl="0">
      <w:start w:val="1"/>
      <w:numFmt w:val="bullet"/>
      <w:lvlText w:val="-"/>
      <w:lvlJc w:val="left"/>
      <w:pPr>
        <w:ind w:left="0" w:hanging="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effect w:val="none"/>
        <w:szCs w:val="19"/>
        <w:iCs w:val="false"/>
        <w:bCs w:val="false"/>
        <w:w w:val="100"/>
        <w:rFonts w:cs="Times New Roman"/>
        <w:color w:val="000000"/>
        <w:lang w:val="ru-RU" w:eastAsia="ru-RU" w:bidi="ru-RU"/>
      </w:r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5">
    <w:lvl w:ilvl="0">
      <w:start w:val="1"/>
      <w:numFmt w:val="decimal"/>
      <w:lvlText w:val="%1."/>
      <w:lvlJc w:val="left"/>
      <w:pPr>
        <w:ind w:left="900" w:hanging="360"/>
      </w:p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itle" w:uiPriority="99" w:qFormat="1"/>
    <w:lsdException w:name="Subtitle" w:qFormat="1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a968b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1">
    <w:name w:val="Heading 1"/>
    <w:basedOn w:val="Normal"/>
    <w:next w:val="Normal"/>
    <w:autoRedefine/>
    <w:qFormat/>
    <w:rsid w:val="00605589"/>
    <w:pPr>
      <w:keepNext w:val="true"/>
      <w:tabs>
        <w:tab w:val="clear" w:pos="708"/>
        <w:tab w:val="left" w:pos="-1260" w:leader="none"/>
        <w:tab w:val="left" w:pos="-900" w:leader="none"/>
        <w:tab w:val="left" w:pos="2160" w:leader="none"/>
        <w:tab w:val="left" w:pos="7230" w:leader="none"/>
      </w:tabs>
      <w:overflowPunct w:val="true"/>
      <w:spacing w:before="0" w:after="0"/>
      <w:contextualSpacing/>
      <w:jc w:val="center"/>
      <w:textAlignment w:val="baseline"/>
      <w:outlineLvl w:val="0"/>
    </w:pPr>
    <w:rPr>
      <w:rFonts w:ascii="Arial" w:hAnsi="Arial" w:cs="Arial"/>
      <w:kern w:val="2"/>
      <w:sz w:val="18"/>
      <w:szCs w:val="18"/>
    </w:rPr>
  </w:style>
  <w:style w:type="paragraph" w:styleId="2">
    <w:name w:val="Heading 2"/>
    <w:basedOn w:val="Normal"/>
    <w:next w:val="Normal"/>
    <w:autoRedefine/>
    <w:qFormat/>
    <w:rsid w:val="000546f8"/>
    <w:pPr>
      <w:keepNext w:val="true"/>
      <w:overflowPunct w:val="true"/>
      <w:spacing w:lineRule="atLeast" w:line="288" w:before="0" w:after="300"/>
      <w:jc w:val="center"/>
      <w:textAlignment w:val="baseline"/>
      <w:outlineLvl w:val="1"/>
    </w:pPr>
    <w:rPr>
      <w:bCs/>
      <w:iCs/>
      <w:sz w:val="27"/>
      <w:szCs w:val="27"/>
    </w:rPr>
  </w:style>
  <w:style w:type="paragraph" w:styleId="3">
    <w:name w:val="Heading 3"/>
    <w:basedOn w:val="Normal"/>
    <w:next w:val="Normal"/>
    <w:link w:val="31"/>
    <w:qFormat/>
    <w:rsid w:val="00716026"/>
    <w:pPr>
      <w:keepNext w:val="true"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Normal"/>
    <w:next w:val="Normal"/>
    <w:link w:val="40"/>
    <w:qFormat/>
    <w:rsid w:val="00391129"/>
    <w:pPr>
      <w:keepNext w:val="true"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8">
    <w:name w:val="Heading 8"/>
    <w:basedOn w:val="Normal"/>
    <w:next w:val="Normal"/>
    <w:link w:val="80"/>
    <w:qFormat/>
    <w:rsid w:val="00911ccd"/>
    <w:pPr>
      <w:spacing w:before="240" w:after="60"/>
      <w:outlineLvl w:val="7"/>
    </w:pPr>
    <w:rPr>
      <w:rFonts w:ascii="Calibri" w:hAnsi="Calibri"/>
      <w:i/>
      <w:iCs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41" w:customStyle="1">
    <w:name w:val="Заголовок 4 Знак"/>
    <w:link w:val="4"/>
    <w:semiHidden/>
    <w:qFormat/>
    <w:rsid w:val="00391129"/>
    <w:rPr>
      <w:rFonts w:ascii="Calibri" w:hAnsi="Calibri" w:eastAsia="Times New Roman" w:cs="Times New Roman"/>
      <w:b/>
      <w:bCs/>
      <w:sz w:val="28"/>
      <w:szCs w:val="28"/>
    </w:rPr>
  </w:style>
  <w:style w:type="character" w:styleId="81" w:customStyle="1">
    <w:name w:val="Заголовок 8 Знак"/>
    <w:link w:val="8"/>
    <w:semiHidden/>
    <w:qFormat/>
    <w:rsid w:val="00911ccd"/>
    <w:rPr>
      <w:rFonts w:ascii="Calibri" w:hAnsi="Calibri" w:eastAsia="Times New Roman" w:cs="Times New Roman"/>
      <w:i/>
      <w:iCs/>
      <w:sz w:val="24"/>
      <w:szCs w:val="24"/>
    </w:rPr>
  </w:style>
  <w:style w:type="character" w:styleId="Style9" w:customStyle="1">
    <w:name w:val="Верхний колонтитул Знак"/>
    <w:link w:val="a4"/>
    <w:uiPriority w:val="99"/>
    <w:qFormat/>
    <w:rsid w:val="002e6b39"/>
    <w:rPr>
      <w:sz w:val="24"/>
      <w:szCs w:val="24"/>
    </w:rPr>
  </w:style>
  <w:style w:type="character" w:styleId="Style10" w:customStyle="1">
    <w:name w:val="Нижний колонтитул Знак"/>
    <w:link w:val="a6"/>
    <w:uiPriority w:val="99"/>
    <w:qFormat/>
    <w:rsid w:val="00466d30"/>
    <w:rPr>
      <w:sz w:val="24"/>
      <w:szCs w:val="24"/>
    </w:rPr>
  </w:style>
  <w:style w:type="character" w:styleId="31" w:customStyle="1">
    <w:name w:val="Основной текст с отступом Знак3"/>
    <w:link w:val="aa"/>
    <w:qFormat/>
    <w:rsid w:val="00f4218c"/>
    <w:rPr>
      <w:sz w:val="24"/>
      <w:szCs w:val="24"/>
    </w:rPr>
  </w:style>
  <w:style w:type="character" w:styleId="7" w:customStyle="1">
    <w:name w:val="Основной текст (7)_"/>
    <w:link w:val="71"/>
    <w:qFormat/>
    <w:rsid w:val="0074401f"/>
    <w:rPr>
      <w:b/>
      <w:bCs/>
      <w:smallCaps/>
      <w:sz w:val="26"/>
      <w:szCs w:val="26"/>
      <w:lang w:bidi="ar-SA"/>
    </w:rPr>
  </w:style>
  <w:style w:type="character" w:styleId="74" w:customStyle="1">
    <w:name w:val="Основной текст (7) + Не малые прописные4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78" w:customStyle="1">
    <w:name w:val="Основной текст (7)8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Style11">
    <w:name w:val="Интернет-ссылка"/>
    <w:rsid w:val="00da3d07"/>
    <w:rPr>
      <w:color w:val="0066CC"/>
      <w:u w:val="single"/>
    </w:rPr>
  </w:style>
  <w:style w:type="character" w:styleId="9" w:customStyle="1">
    <w:name w:val="Заголовок №9_"/>
    <w:link w:val="91"/>
    <w:qFormat/>
    <w:rsid w:val="00da3d07"/>
    <w:rPr>
      <w:b/>
      <w:bCs/>
      <w:smallCaps/>
      <w:sz w:val="26"/>
      <w:szCs w:val="26"/>
      <w:lang w:bidi="ar-SA"/>
    </w:rPr>
  </w:style>
  <w:style w:type="character" w:styleId="94" w:customStyle="1">
    <w:name w:val="Заголовок №9 + Не малые прописные4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96" w:customStyle="1">
    <w:name w:val="Заголовок №96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73" w:customStyle="1">
    <w:name w:val="Основной текст (7) + Не малые прописные3"/>
    <w:qFormat/>
    <w:rsid w:val="002f2109"/>
    <w:rPr>
      <w:rFonts w:ascii="Times New Roman" w:hAnsi="Times New Roman" w:cs="Times New Roman"/>
      <w:b w:val="false"/>
      <w:bCs w:val="false"/>
      <w:smallCaps/>
      <w:spacing w:val="0"/>
      <w:sz w:val="26"/>
      <w:szCs w:val="26"/>
      <w:lang w:bidi="ar-SA"/>
    </w:rPr>
  </w:style>
  <w:style w:type="character" w:styleId="77" w:customStyle="1">
    <w:name w:val="Основной текст (7)7"/>
    <w:qFormat/>
    <w:rsid w:val="002f2109"/>
    <w:rPr>
      <w:rFonts w:ascii="Times New Roman" w:hAnsi="Times New Roman" w:cs="Times New Roman"/>
      <w:b w:val="false"/>
      <w:bCs w:val="false"/>
      <w:caps w:val="false"/>
      <w:smallCaps w:val="false"/>
      <w:spacing w:val="0"/>
      <w:sz w:val="26"/>
      <w:szCs w:val="26"/>
      <w:lang w:bidi="ar-SA"/>
    </w:rPr>
  </w:style>
  <w:style w:type="character" w:styleId="10" w:customStyle="1">
    <w:name w:val="Заголовок №10_"/>
    <w:link w:val="101"/>
    <w:qFormat/>
    <w:rsid w:val="005640cf"/>
    <w:rPr>
      <w:b/>
      <w:bCs/>
      <w:lang w:bidi="ar-SA"/>
    </w:rPr>
  </w:style>
  <w:style w:type="character" w:styleId="6" w:customStyle="1">
    <w:name w:val="Основной текст (6)_"/>
    <w:link w:val="60"/>
    <w:qFormat/>
    <w:rsid w:val="005640cf"/>
    <w:rPr>
      <w:b/>
      <w:bCs/>
      <w:sz w:val="23"/>
      <w:szCs w:val="23"/>
      <w:lang w:bidi="ar-SA"/>
    </w:rPr>
  </w:style>
  <w:style w:type="character" w:styleId="1010" w:customStyle="1">
    <w:name w:val="Заголовок №1010"/>
    <w:basedOn w:val="10"/>
    <w:qFormat/>
    <w:rsid w:val="005640cf"/>
    <w:rPr>
      <w:b/>
      <w:bCs/>
      <w:lang w:bidi="ar-SA"/>
    </w:rPr>
  </w:style>
  <w:style w:type="character" w:styleId="Style12" w:customStyle="1">
    <w:name w:val="Основной текст + Полужирный"/>
    <w:qFormat/>
    <w:rsid w:val="005640cf"/>
    <w:rPr>
      <w:rFonts w:ascii="Times New Roman" w:hAnsi="Times New Roman" w:cs="Times New Roman"/>
      <w:b/>
      <w:bCs/>
      <w:spacing w:val="0"/>
      <w:sz w:val="23"/>
      <w:szCs w:val="23"/>
    </w:rPr>
  </w:style>
  <w:style w:type="character" w:styleId="82" w:customStyle="1">
    <w:name w:val="Основной текст (8)_"/>
    <w:link w:val="810"/>
    <w:qFormat/>
    <w:rsid w:val="005640cf"/>
    <w:rPr>
      <w:i/>
      <w:iCs/>
      <w:lang w:bidi="ar-SA"/>
    </w:rPr>
  </w:style>
  <w:style w:type="character" w:styleId="83" w:customStyle="1">
    <w:name w:val="Основной текст (8) + Полужирный"/>
    <w:qFormat/>
    <w:rsid w:val="005640cf"/>
    <w:rPr>
      <w:b/>
      <w:bCs/>
      <w:i/>
      <w:iCs/>
      <w:lang w:bidi="ar-SA"/>
    </w:rPr>
  </w:style>
  <w:style w:type="character" w:styleId="63" w:customStyle="1">
    <w:name w:val="Основной текст (6) + Не полужирный3"/>
    <w:basedOn w:val="6"/>
    <w:qFormat/>
    <w:rsid w:val="005640cf"/>
    <w:rPr>
      <w:b/>
      <w:bCs/>
      <w:sz w:val="23"/>
      <w:szCs w:val="23"/>
      <w:lang w:bidi="ar-SA"/>
    </w:rPr>
  </w:style>
  <w:style w:type="character" w:styleId="92" w:customStyle="1">
    <w:name w:val="Заголовок №9 (2)_"/>
    <w:link w:val="921"/>
    <w:qFormat/>
    <w:rsid w:val="00d25ff1"/>
    <w:rPr>
      <w:b/>
      <w:bCs/>
      <w:sz w:val="26"/>
      <w:szCs w:val="26"/>
      <w:lang w:bidi="ar-SA"/>
    </w:rPr>
  </w:style>
  <w:style w:type="character" w:styleId="Style13" w:customStyle="1">
    <w:name w:val="Подпись к таблице_"/>
    <w:link w:val="11"/>
    <w:qFormat/>
    <w:rsid w:val="00d25ff1"/>
    <w:rPr>
      <w:i/>
      <w:iCs/>
      <w:lang w:bidi="ar-SA"/>
    </w:rPr>
  </w:style>
  <w:style w:type="character" w:styleId="101" w:customStyle="1">
    <w:name w:val="Основной текст (10)_"/>
    <w:link w:val="1011"/>
    <w:qFormat/>
    <w:rsid w:val="00d25ff1"/>
    <w:rPr>
      <w:b/>
      <w:bCs/>
      <w:sz w:val="19"/>
      <w:szCs w:val="19"/>
      <w:lang w:bidi="ar-SA"/>
    </w:rPr>
  </w:style>
  <w:style w:type="character" w:styleId="91" w:customStyle="1">
    <w:name w:val="Основной текст (9)_"/>
    <w:link w:val="910"/>
    <w:qFormat/>
    <w:rsid w:val="00d25ff1"/>
    <w:rPr>
      <w:sz w:val="19"/>
      <w:szCs w:val="19"/>
      <w:lang w:bidi="ar-SA"/>
    </w:rPr>
  </w:style>
  <w:style w:type="character" w:styleId="925" w:customStyle="1">
    <w:name w:val="Заголовок №9 (2)5"/>
    <w:basedOn w:val="92"/>
    <w:qFormat/>
    <w:rsid w:val="00d25ff1"/>
    <w:rPr>
      <w:b/>
      <w:bCs/>
      <w:sz w:val="26"/>
      <w:szCs w:val="26"/>
      <w:lang w:bidi="ar-SA"/>
    </w:rPr>
  </w:style>
  <w:style w:type="character" w:styleId="108" w:customStyle="1">
    <w:name w:val="Заголовок №108"/>
    <w:qFormat/>
    <w:rsid w:val="00d25ff1"/>
    <w:rPr>
      <w:rFonts w:ascii="Times New Roman" w:hAnsi="Times New Roman" w:cs="Times New Roman"/>
      <w:b w:val="false"/>
      <w:bCs w:val="false"/>
      <w:spacing w:val="0"/>
      <w:lang w:bidi="ar-SA"/>
    </w:rPr>
  </w:style>
  <w:style w:type="character" w:styleId="32" w:customStyle="1">
    <w:name w:val="Подпись к таблице + Полужирный3"/>
    <w:qFormat/>
    <w:rsid w:val="00d25ff1"/>
    <w:rPr>
      <w:b/>
      <w:bCs/>
      <w:i/>
      <w:iCs/>
      <w:lang w:bidi="ar-SA"/>
    </w:rPr>
  </w:style>
  <w:style w:type="character" w:styleId="42" w:customStyle="1">
    <w:name w:val="Подпись к таблице4"/>
    <w:basedOn w:val="Style13"/>
    <w:qFormat/>
    <w:rsid w:val="00d25ff1"/>
    <w:rPr>
      <w:i/>
      <w:iCs/>
      <w:lang w:bidi="ar-SA"/>
    </w:rPr>
  </w:style>
  <w:style w:type="character" w:styleId="1012" w:customStyle="1">
    <w:name w:val="Основной текст (10)12"/>
    <w:basedOn w:val="101"/>
    <w:qFormat/>
    <w:rsid w:val="00d25ff1"/>
    <w:rPr>
      <w:b/>
      <w:bCs/>
      <w:sz w:val="19"/>
      <w:szCs w:val="19"/>
      <w:lang w:bidi="ar-SA"/>
    </w:rPr>
  </w:style>
  <w:style w:type="character" w:styleId="21" w:customStyle="1">
    <w:name w:val="Подпись к таблице (2)_"/>
    <w:link w:val="21"/>
    <w:qFormat/>
    <w:rsid w:val="00d25ff1"/>
    <w:rPr>
      <w:i/>
      <w:iCs/>
      <w:sz w:val="19"/>
      <w:szCs w:val="19"/>
      <w:lang w:bidi="ar-SA"/>
    </w:rPr>
  </w:style>
  <w:style w:type="character" w:styleId="210pt" w:customStyle="1">
    <w:name w:val="Подпись к таблице (2) + 10 pt"/>
    <w:qFormat/>
    <w:rsid w:val="00d25ff1"/>
    <w:rPr>
      <w:b/>
      <w:bCs/>
      <w:i/>
      <w:iCs/>
      <w:sz w:val="20"/>
      <w:szCs w:val="20"/>
      <w:lang w:bidi="ar-SA"/>
    </w:rPr>
  </w:style>
  <w:style w:type="character" w:styleId="Pagenumber">
    <w:name w:val="page number"/>
    <w:basedOn w:val="DefaultParagraphFont"/>
    <w:qFormat/>
    <w:rsid w:val="00a10d45"/>
    <w:rPr/>
  </w:style>
  <w:style w:type="character" w:styleId="Strong">
    <w:name w:val="Strong"/>
    <w:uiPriority w:val="99"/>
    <w:qFormat/>
    <w:rsid w:val="002b49a9"/>
    <w:rPr>
      <w:b/>
      <w:bCs/>
    </w:rPr>
  </w:style>
  <w:style w:type="character" w:styleId="Style14">
    <w:name w:val="Выделение"/>
    <w:uiPriority w:val="20"/>
    <w:qFormat/>
    <w:rsid w:val="002b49a9"/>
    <w:rPr>
      <w:i/>
      <w:iCs/>
    </w:rPr>
  </w:style>
  <w:style w:type="character" w:styleId="Appleconvertedspace" w:customStyle="1">
    <w:name w:val="apple-converted-space"/>
    <w:basedOn w:val="DefaultParagraphFont"/>
    <w:qFormat/>
    <w:rsid w:val="002b49a9"/>
    <w:rPr/>
  </w:style>
  <w:style w:type="character" w:styleId="Style15" w:customStyle="1">
    <w:name w:val="Текст выноски Знак"/>
    <w:link w:val="af4"/>
    <w:qFormat/>
    <w:rsid w:val="009832ef"/>
    <w:rPr>
      <w:rFonts w:ascii="Tahoma" w:hAnsi="Tahoma" w:cs="Tahoma"/>
      <w:sz w:val="16"/>
      <w:szCs w:val="16"/>
    </w:rPr>
  </w:style>
  <w:style w:type="character" w:styleId="11" w:customStyle="1">
    <w:name w:val="Заголовок №1_"/>
    <w:link w:val="14"/>
    <w:qFormat/>
    <w:rsid w:val="00a8315a"/>
    <w:rPr>
      <w:sz w:val="23"/>
      <w:szCs w:val="23"/>
      <w:shd w:fill="FFFFFF" w:val="clear"/>
    </w:rPr>
  </w:style>
  <w:style w:type="character" w:styleId="33" w:customStyle="1">
    <w:name w:val="Основной текст (3)_"/>
    <w:link w:val="37"/>
    <w:qFormat/>
    <w:rsid w:val="00a8315a"/>
    <w:rPr>
      <w:rFonts w:ascii="Arial Narrow" w:hAnsi="Arial Narrow"/>
      <w:sz w:val="19"/>
      <w:szCs w:val="19"/>
      <w:shd w:fill="FFFFFF" w:val="clear"/>
    </w:rPr>
  </w:style>
  <w:style w:type="character" w:styleId="43" w:customStyle="1">
    <w:name w:val="Основной текст (4)_"/>
    <w:link w:val="43"/>
    <w:qFormat/>
    <w:rsid w:val="00a8315a"/>
    <w:rPr>
      <w:rFonts w:ascii="Arial Narrow" w:hAnsi="Arial Narrow"/>
      <w:shd w:fill="FFFFFF" w:val="clear"/>
    </w:rPr>
  </w:style>
  <w:style w:type="character" w:styleId="22" w:customStyle="1">
    <w:name w:val="Заголовок №2_"/>
    <w:link w:val="24"/>
    <w:qFormat/>
    <w:rsid w:val="00a8315a"/>
    <w:rPr>
      <w:sz w:val="22"/>
      <w:szCs w:val="22"/>
      <w:shd w:fill="FFFFFF" w:val="clear"/>
    </w:rPr>
  </w:style>
  <w:style w:type="character" w:styleId="2ArialNarrow" w:customStyle="1">
    <w:name w:val="Заголовок №2 + Arial Narrow"/>
    <w:qFormat/>
    <w:rsid w:val="00a8315a"/>
    <w:rPr>
      <w:rFonts w:ascii="Arial Narrow" w:hAnsi="Arial Narrow" w:cs="Arial Narrow"/>
      <w:sz w:val="20"/>
      <w:szCs w:val="20"/>
      <w:shd w:fill="FFFFFF" w:val="clear"/>
    </w:rPr>
  </w:style>
  <w:style w:type="character" w:styleId="210pt1" w:customStyle="1">
    <w:name w:val="Заголовок №2 + 10 pt"/>
    <w:qFormat/>
    <w:rsid w:val="00a8315a"/>
    <w:rPr>
      <w:sz w:val="20"/>
      <w:szCs w:val="20"/>
      <w:shd w:fill="FFFFFF" w:val="clear"/>
    </w:rPr>
  </w:style>
  <w:style w:type="character" w:styleId="210pt11" w:customStyle="1">
    <w:name w:val="Заголовок №2 + 10 pt1"/>
    <w:qFormat/>
    <w:rsid w:val="00a8315a"/>
    <w:rPr>
      <w:sz w:val="20"/>
      <w:szCs w:val="20"/>
      <w:shd w:fill="FFFFFF" w:val="clear"/>
    </w:rPr>
  </w:style>
  <w:style w:type="character" w:styleId="914pt" w:customStyle="1">
    <w:name w:val="Основной текст (9) + 14 pt"/>
    <w:qFormat/>
    <w:rsid w:val="00a8315a"/>
    <w:rPr>
      <w:rFonts w:ascii="Times New Roman" w:hAnsi="Times New Roman" w:cs="Times New Roman"/>
      <w:spacing w:val="0"/>
      <w:sz w:val="28"/>
      <w:szCs w:val="28"/>
      <w:lang w:bidi="ar-SA"/>
    </w:rPr>
  </w:style>
  <w:style w:type="character" w:styleId="93" w:customStyle="1">
    <w:name w:val="Основной текст (9) + Полужирный"/>
    <w:qFormat/>
    <w:rsid w:val="00a8315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styleId="911" w:customStyle="1">
    <w:name w:val="Основной текст (9) + Полужирный1"/>
    <w:qFormat/>
    <w:rsid w:val="00a8315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styleId="221" w:customStyle="1">
    <w:name w:val="Заголовок №2 (2)_"/>
    <w:link w:val="221"/>
    <w:qFormat/>
    <w:rsid w:val="00a8315a"/>
    <w:rPr>
      <w:rFonts w:ascii="Arial Narrow" w:hAnsi="Arial Narrow"/>
      <w:shd w:fill="FFFFFF" w:val="clear"/>
    </w:rPr>
  </w:style>
  <w:style w:type="character" w:styleId="22TimesNewRoman" w:customStyle="1">
    <w:name w:val="Заголовок №2 (2) + Times New Roman"/>
    <w:qFormat/>
    <w:rsid w:val="00a8315a"/>
    <w:rPr>
      <w:rFonts w:ascii="Times New Roman" w:hAnsi="Times New Roman" w:cs="Times New Roman"/>
      <w:i/>
      <w:iCs/>
      <w:sz w:val="22"/>
      <w:szCs w:val="22"/>
      <w:shd w:fill="FFFFFF" w:val="clear"/>
    </w:rPr>
  </w:style>
  <w:style w:type="character" w:styleId="Style16" w:customStyle="1">
    <w:name w:val="Название Знак"/>
    <w:link w:val="af6"/>
    <w:uiPriority w:val="10"/>
    <w:qFormat/>
    <w:rsid w:val="00dc77d9"/>
    <w:rPr>
      <w:b/>
      <w:bCs/>
      <w:sz w:val="28"/>
      <w:szCs w:val="28"/>
    </w:rPr>
  </w:style>
  <w:style w:type="character" w:styleId="Style17" w:customStyle="1">
    <w:name w:val="Название объекта Знак"/>
    <w:link w:val="af9"/>
    <w:qFormat/>
    <w:rsid w:val="007f0245"/>
    <w:rPr>
      <w:b/>
      <w:bCs/>
    </w:rPr>
  </w:style>
  <w:style w:type="character" w:styleId="12" w:customStyle="1">
    <w:name w:val="Текст сноски Знак1"/>
    <w:link w:val="afb"/>
    <w:qFormat/>
    <w:rsid w:val="007f0245"/>
    <w:rPr/>
  </w:style>
  <w:style w:type="character" w:styleId="Style18" w:customStyle="1">
    <w:name w:val="Текст сноски Знак"/>
    <w:basedOn w:val="DefaultParagraphFont"/>
    <w:qFormat/>
    <w:rsid w:val="007f0245"/>
    <w:rPr/>
  </w:style>
  <w:style w:type="character" w:styleId="Style19">
    <w:name w:val="Привязка сноски"/>
    <w:rPr>
      <w:vertAlign w:val="superscript"/>
    </w:rPr>
  </w:style>
  <w:style w:type="character" w:styleId="FootnoteCharacters">
    <w:name w:val="Footnote Characters"/>
    <w:qFormat/>
    <w:rsid w:val="007f0245"/>
    <w:rPr>
      <w:vertAlign w:val="superscript"/>
    </w:rPr>
  </w:style>
  <w:style w:type="character" w:styleId="Applestylespan" w:customStyle="1">
    <w:name w:val="apple-style-span"/>
    <w:basedOn w:val="DefaultParagraphFont"/>
    <w:qFormat/>
    <w:rsid w:val="007f0245"/>
    <w:rPr/>
  </w:style>
  <w:style w:type="character" w:styleId="312pt" w:customStyle="1">
    <w:name w:val="Основной текст (3) + 12 pt"/>
    <w:qFormat/>
    <w:rsid w:val="00b56d43"/>
    <w:rPr>
      <w:b/>
      <w:bCs/>
      <w:sz w:val="24"/>
      <w:szCs w:val="24"/>
      <w:lang w:bidi="ar-SA"/>
    </w:rPr>
  </w:style>
  <w:style w:type="character" w:styleId="121" w:customStyle="1">
    <w:name w:val="Заголовок №1 (2)_"/>
    <w:link w:val="121"/>
    <w:qFormat/>
    <w:rsid w:val="00b56d43"/>
    <w:rPr>
      <w:sz w:val="28"/>
      <w:szCs w:val="28"/>
      <w:shd w:fill="FFFFFF" w:val="clear"/>
    </w:rPr>
  </w:style>
  <w:style w:type="character" w:styleId="122" w:customStyle="1">
    <w:name w:val="Заголовок №1 (2)"/>
    <w:qFormat/>
    <w:rsid w:val="00b56d43"/>
    <w:rPr/>
  </w:style>
  <w:style w:type="character" w:styleId="95" w:customStyle="1">
    <w:name w:val="Подпись к таблице + 9"/>
    <w:qFormat/>
    <w:rsid w:val="00b56d43"/>
    <w:rPr>
      <w:b/>
      <w:bCs/>
      <w:sz w:val="19"/>
      <w:szCs w:val="19"/>
      <w:lang w:bidi="ar-SA"/>
    </w:rPr>
  </w:style>
  <w:style w:type="character" w:styleId="5" w:customStyle="1">
    <w:name w:val="Основной текст (5)_"/>
    <w:link w:val="50"/>
    <w:qFormat/>
    <w:rsid w:val="00b56d43"/>
    <w:rPr>
      <w:sz w:val="19"/>
      <w:szCs w:val="19"/>
      <w:shd w:fill="FFFFFF" w:val="clear"/>
    </w:rPr>
  </w:style>
  <w:style w:type="character" w:styleId="23" w:customStyle="1">
    <w:name w:val="Основной текст (2)_"/>
    <w:link w:val="211"/>
    <w:qFormat/>
    <w:rsid w:val="00b56d43"/>
    <w:rPr>
      <w:shd w:fill="FFFFFF" w:val="clear"/>
    </w:rPr>
  </w:style>
  <w:style w:type="character" w:styleId="321" w:customStyle="1">
    <w:name w:val="Основной текст (3)2"/>
    <w:qFormat/>
    <w:rsid w:val="00b56d43"/>
    <w:rPr>
      <w:rFonts w:ascii="Times New Roman" w:hAnsi="Times New Roman" w:cs="Times New Roman"/>
      <w:b w:val="false"/>
      <w:bCs w:val="false"/>
      <w:spacing w:val="0"/>
      <w:sz w:val="19"/>
      <w:szCs w:val="19"/>
      <w:lang w:bidi="ar-SA"/>
    </w:rPr>
  </w:style>
  <w:style w:type="character" w:styleId="34" w:customStyle="1">
    <w:name w:val="Подпись к таблице (3)_"/>
    <w:link w:val="311"/>
    <w:qFormat/>
    <w:rsid w:val="00b56d43"/>
    <w:rPr>
      <w:sz w:val="19"/>
      <w:szCs w:val="19"/>
      <w:shd w:fill="FFFFFF" w:val="clear"/>
    </w:rPr>
  </w:style>
  <w:style w:type="character" w:styleId="35" w:customStyle="1">
    <w:name w:val="Подпись к таблице (3)"/>
    <w:qFormat/>
    <w:rsid w:val="00b56d43"/>
    <w:rPr/>
  </w:style>
  <w:style w:type="character" w:styleId="24" w:customStyle="1">
    <w:name w:val="Основной текст (2)"/>
    <w:qFormat/>
    <w:rsid w:val="00b56d43"/>
    <w:rPr/>
  </w:style>
  <w:style w:type="character" w:styleId="13" w:customStyle="1">
    <w:name w:val="Название Знак1"/>
    <w:uiPriority w:val="99"/>
    <w:qFormat/>
    <w:locked/>
    <w:rsid w:val="00f85682"/>
    <w:rPr>
      <w:rFonts w:cs="Times New Roman"/>
      <w:b/>
      <w:bCs/>
      <w:sz w:val="28"/>
      <w:szCs w:val="28"/>
    </w:rPr>
  </w:style>
  <w:style w:type="character" w:styleId="36" w:customStyle="1">
    <w:name w:val="Основной текст 3 Знак"/>
    <w:link w:val="3a"/>
    <w:qFormat/>
    <w:rsid w:val="00391129"/>
    <w:rPr>
      <w:sz w:val="16"/>
      <w:szCs w:val="16"/>
      <w:lang w:val="x-none" w:eastAsia="x-none"/>
    </w:rPr>
  </w:style>
  <w:style w:type="character" w:styleId="FollowedHyperlink">
    <w:name w:val="FollowedHyperlink"/>
    <w:uiPriority w:val="99"/>
    <w:unhideWhenUsed/>
    <w:qFormat/>
    <w:rsid w:val="00e57cde"/>
    <w:rPr>
      <w:color w:val="800080"/>
      <w:u w:val="single"/>
    </w:rPr>
  </w:style>
  <w:style w:type="character" w:styleId="Style20" w:customStyle="1">
    <w:name w:val="Основной текст Знак"/>
    <w:link w:val="a8"/>
    <w:qFormat/>
    <w:rsid w:val="00b9001d"/>
    <w:rPr/>
  </w:style>
  <w:style w:type="character" w:styleId="Style21" w:customStyle="1">
    <w:name w:val="Основной текст_"/>
    <w:link w:val="51"/>
    <w:qFormat/>
    <w:rsid w:val="00d1470f"/>
    <w:rPr>
      <w:rFonts w:ascii="Arial Unicode MS" w:hAnsi="Arial Unicode MS" w:eastAsia="Arial Unicode MS" w:cs="Arial Unicode MS"/>
      <w:shd w:fill="FFFFFF" w:val="clear"/>
    </w:rPr>
  </w:style>
  <w:style w:type="character" w:styleId="25" w:customStyle="1">
    <w:name w:val="Основной текст2"/>
    <w:qFormat/>
    <w:rsid w:val="00d1470f"/>
    <w:rPr>
      <w:rFonts w:ascii="Arial Unicode MS" w:hAnsi="Arial Unicode MS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14" w:customStyle="1">
    <w:name w:val="Неразрешенное упоминание1"/>
    <w:uiPriority w:val="99"/>
    <w:semiHidden/>
    <w:unhideWhenUsed/>
    <w:qFormat/>
    <w:rsid w:val="00af6be0"/>
    <w:rPr>
      <w:color w:val="808080"/>
      <w:shd w:fill="E6E6E6" w:val="clear"/>
    </w:rPr>
  </w:style>
  <w:style w:type="character" w:styleId="26" w:customStyle="1">
    <w:name w:val="Основной текст с отступом 2 Знак"/>
    <w:link w:val="2a"/>
    <w:qFormat/>
    <w:rsid w:val="00af6be0"/>
    <w:rPr>
      <w:sz w:val="24"/>
      <w:szCs w:val="24"/>
    </w:rPr>
  </w:style>
  <w:style w:type="character" w:styleId="37" w:customStyle="1">
    <w:name w:val="Заголовок 3 Знак"/>
    <w:basedOn w:val="DefaultParagraphFont"/>
    <w:link w:val="30"/>
    <w:qFormat/>
    <w:rsid w:val="00326c27"/>
    <w:rPr>
      <w:rFonts w:ascii="Arial" w:hAnsi="Arial" w:cs="Arial"/>
      <w:b/>
      <w:bCs/>
      <w:sz w:val="26"/>
      <w:szCs w:val="26"/>
    </w:rPr>
  </w:style>
  <w:style w:type="character" w:styleId="Style22" w:customStyle="1">
    <w:name w:val="Текст примечания Знак"/>
    <w:basedOn w:val="DefaultParagraphFont"/>
    <w:link w:val="aff4"/>
    <w:uiPriority w:val="99"/>
    <w:qFormat/>
    <w:rsid w:val="00326c27"/>
    <w:rPr/>
  </w:style>
  <w:style w:type="character" w:styleId="Style23" w:customStyle="1">
    <w:name w:val="Другое_"/>
    <w:basedOn w:val="DefaultParagraphFont"/>
    <w:link w:val="aff7"/>
    <w:qFormat/>
    <w:locked/>
    <w:rsid w:val="00da0c0f"/>
    <w:rPr>
      <w:sz w:val="19"/>
      <w:szCs w:val="19"/>
      <w:shd w:fill="FFFFFF" w:val="clear"/>
    </w:rPr>
  </w:style>
  <w:style w:type="character" w:styleId="Style24" w:customStyle="1">
    <w:name w:val="Подпись к картинке_"/>
    <w:basedOn w:val="DefaultParagraphFont"/>
    <w:link w:val="aff9"/>
    <w:qFormat/>
    <w:locked/>
    <w:rsid w:val="00da0c0f"/>
    <w:rPr>
      <w:sz w:val="13"/>
      <w:szCs w:val="13"/>
      <w:shd w:fill="FFFFFF" w:val="clear"/>
    </w:rPr>
  </w:style>
  <w:style w:type="character" w:styleId="27" w:customStyle="1">
    <w:name w:val="Неразрешенное упоминание2"/>
    <w:basedOn w:val="DefaultParagraphFont"/>
    <w:uiPriority w:val="99"/>
    <w:semiHidden/>
    <w:unhideWhenUsed/>
    <w:qFormat/>
    <w:rsid w:val="00053e11"/>
    <w:rPr>
      <w:color w:val="605E5C"/>
      <w:shd w:fill="E1DFDD" w:val="clear"/>
    </w:rPr>
  </w:style>
  <w:style w:type="character" w:styleId="ListLabel1">
    <w:name w:val="ListLabel 1"/>
    <w:qFormat/>
    <w:rPr>
      <w:b w:val="false"/>
    </w:rPr>
  </w:style>
  <w:style w:type="character" w:styleId="ListLabel2">
    <w:name w:val="ListLabel 2"/>
    <w:qFormat/>
    <w:rPr>
      <w:b w:val="false"/>
    </w:rPr>
  </w:style>
  <w:style w:type="character" w:styleId="ListLabel3">
    <w:name w:val="ListLabel 3"/>
    <w:qFormat/>
    <w:rPr>
      <w:b w:val="false"/>
    </w:rPr>
  </w:style>
  <w:style w:type="character" w:styleId="ListLabel4">
    <w:name w:val="ListLabel 4"/>
    <w:qFormat/>
    <w:rPr>
      <w:b w:val="false"/>
    </w:rPr>
  </w:style>
  <w:style w:type="character" w:styleId="ListLabel5">
    <w:name w:val="ListLabel 5"/>
    <w:qFormat/>
    <w:rPr>
      <w:b w:val="false"/>
    </w:rPr>
  </w:style>
  <w:style w:type="character" w:styleId="ListLabel6">
    <w:name w:val="ListLabel 6"/>
    <w:qFormat/>
    <w:rPr>
      <w:b w:val="false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b w:val="false"/>
    </w:rPr>
  </w:style>
  <w:style w:type="character" w:styleId="ListLabel9">
    <w:name w:val="ListLabel 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0">
    <w:name w:val="ListLabel 1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1">
    <w:name w:val="ListLabel 1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2">
    <w:name w:val="ListLabel 1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3">
    <w:name w:val="ListLabel 1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4">
    <w:name w:val="ListLabel 1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5">
    <w:name w:val="ListLabel 1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6">
    <w:name w:val="ListLabel 1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7">
    <w:name w:val="ListLabel 1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8">
    <w:name w:val="ListLabel 18"/>
    <w:qFormat/>
    <w:rPr>
      <w:rFonts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</w:rPr>
  </w:style>
  <w:style w:type="character" w:styleId="ListLabel19">
    <w:name w:val="ListLabel 1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0">
    <w:name w:val="ListLabel 2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1">
    <w:name w:val="ListLabel 2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2">
    <w:name w:val="ListLabel 2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3">
    <w:name w:val="ListLabel 2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4">
    <w:name w:val="ListLabel 2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5">
    <w:name w:val="ListLabel 2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6">
    <w:name w:val="ListLabel 2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7">
    <w:name w:val="ListLabel 27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8">
    <w:name w:val="ListLabel 28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9">
    <w:name w:val="ListLabel 29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0">
    <w:name w:val="ListLabel 30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1">
    <w:name w:val="ListLabel 31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2">
    <w:name w:val="ListLabel 32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3">
    <w:name w:val="ListLabel 33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4">
    <w:name w:val="ListLabel 34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5">
    <w:name w:val="ListLabel 35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6">
    <w:name w:val="ListLabel 36"/>
    <w:qFormat/>
    <w:rPr>
      <w:rFonts w:cs="Courier New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Courier New"/>
    </w:rPr>
  </w:style>
  <w:style w:type="character" w:styleId="ListLabel39">
    <w:name w:val="ListLabel 39"/>
    <w:qFormat/>
    <w:rPr>
      <w:rFonts w:cs="Courier New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Courier New"/>
    </w:rPr>
  </w:style>
  <w:style w:type="character" w:styleId="ListLabel42">
    <w:name w:val="ListLabel 42"/>
    <w:qFormat/>
    <w:rPr>
      <w:rFonts w:cs="Courier New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Courier New"/>
    </w:rPr>
  </w:style>
  <w:style w:type="character" w:styleId="ListLabel45">
    <w:name w:val="ListLabel 45"/>
    <w:qFormat/>
    <w:rPr>
      <w:u w:val="none"/>
    </w:rPr>
  </w:style>
  <w:style w:type="character" w:styleId="ListLabel46">
    <w:name w:val="ListLabel 46"/>
    <w:qFormat/>
    <w:rPr>
      <w:sz w:val="28"/>
      <w:szCs w:val="28"/>
      <w:u w:val="none"/>
    </w:rPr>
  </w:style>
  <w:style w:type="character" w:styleId="ListLabel47">
    <w:name w:val="ListLabel 47"/>
    <w:qFormat/>
    <w:rPr>
      <w:b/>
      <w:sz w:val="32"/>
      <w:szCs w:val="32"/>
    </w:rPr>
  </w:style>
  <w:style w:type="character" w:styleId="ListLabel48">
    <w:name w:val="ListLabel 48"/>
    <w:qFormat/>
    <w:rPr>
      <w:sz w:val="28"/>
      <w:szCs w:val="28"/>
    </w:rPr>
  </w:style>
  <w:style w:type="character" w:styleId="ListLabel49">
    <w:name w:val="ListLabel 49"/>
    <w:qFormat/>
    <w:rPr>
      <w:b w:val="false"/>
      <w:sz w:val="22"/>
      <w:szCs w:val="22"/>
    </w:rPr>
  </w:style>
  <w:style w:type="character" w:styleId="ListLabel50">
    <w:name w:val="ListLabel 5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1">
    <w:name w:val="ListLabel 5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2">
    <w:name w:val="ListLabel 5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3">
    <w:name w:val="ListLabel 5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4">
    <w:name w:val="ListLabel 5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5">
    <w:name w:val="ListLabel 5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6">
    <w:name w:val="ListLabel 5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7">
    <w:name w:val="ListLabel 5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8">
    <w:name w:val="ListLabel 58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9">
    <w:name w:val="ListLabel 59"/>
    <w:qFormat/>
    <w:rPr>
      <w:color w:val="auto"/>
    </w:rPr>
  </w:style>
  <w:style w:type="character" w:styleId="ListLabel60">
    <w:name w:val="ListLabel 60"/>
    <w:qFormat/>
    <w:rPr>
      <w:rFonts w:cs="Courier New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sz w:val="22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  <w:color w:val="auto"/>
      <w:sz w:val="24"/>
      <w:szCs w:val="24"/>
    </w:rPr>
  </w:style>
  <w:style w:type="character" w:styleId="ListLabel82">
    <w:name w:val="ListLabel 82"/>
    <w:qFormat/>
    <w:rPr>
      <w:sz w:val="20"/>
    </w:rPr>
  </w:style>
  <w:style w:type="character" w:styleId="ListLabel83">
    <w:name w:val="ListLabel 83"/>
    <w:qFormat/>
    <w:rPr>
      <w:sz w:val="20"/>
    </w:rPr>
  </w:style>
  <w:style w:type="character" w:styleId="ListLabel84">
    <w:name w:val="ListLabel 84"/>
    <w:qFormat/>
    <w:rPr>
      <w:sz w:val="20"/>
    </w:rPr>
  </w:style>
  <w:style w:type="character" w:styleId="ListLabel85">
    <w:name w:val="ListLabel 85"/>
    <w:qFormat/>
    <w:rPr>
      <w:sz w:val="20"/>
    </w:rPr>
  </w:style>
  <w:style w:type="character" w:styleId="ListLabel86">
    <w:name w:val="ListLabel 86"/>
    <w:qFormat/>
    <w:rPr>
      <w:sz w:val="20"/>
    </w:rPr>
  </w:style>
  <w:style w:type="character" w:styleId="ListLabel87">
    <w:name w:val="ListLabel 87"/>
    <w:qFormat/>
    <w:rPr>
      <w:sz w:val="20"/>
    </w:rPr>
  </w:style>
  <w:style w:type="character" w:styleId="ListLabel88">
    <w:name w:val="ListLabel 88"/>
    <w:qFormat/>
    <w:rPr>
      <w:sz w:val="20"/>
    </w:rPr>
  </w:style>
  <w:style w:type="character" w:styleId="ListLabel89">
    <w:name w:val="ListLabel 89"/>
    <w:qFormat/>
    <w:rPr>
      <w:sz w:val="20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  <w:b/>
      <w:i/>
      <w:caps w:val="false"/>
      <w:smallCaps w:val="false"/>
      <w:strike w:val="false"/>
      <w:dstrike w:val="false"/>
      <w:vanish w:val="false"/>
      <w:color w:val="auto"/>
      <w:position w:val="0"/>
      <w:sz w:val="24"/>
      <w:sz w:val="24"/>
      <w:u w:val="none"/>
      <w:vertAlign w:val="baseline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ascii="Times New Roman" w:hAnsi="Times New Roman" w:cs="Times New Roman"/>
      <w:sz w:val="24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effect w:val="none"/>
      <w:lang w:val="ru-RU" w:eastAsia="ru-RU" w:bidi="ru-RU"/>
    </w:rPr>
  </w:style>
  <w:style w:type="character" w:styleId="ListLabel131">
    <w:name w:val="ListLabel 13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effect w:val="none"/>
      <w:lang w:val="ru-RU" w:eastAsia="ru-RU" w:bidi="ru-RU"/>
    </w:rPr>
  </w:style>
  <w:style w:type="character" w:styleId="ListLabel132">
    <w:name w:val="ListLabel 132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19"/>
      <w:u w:val="none"/>
      <w:effect w:val="none"/>
      <w:lang w:val="ru-RU" w:eastAsia="ru-RU" w:bidi="ru-RU"/>
    </w:rPr>
  </w:style>
  <w:style w:type="character" w:styleId="ListLabel133">
    <w:name w:val="ListLabel 133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lang w:val="ru-RU" w:eastAsia="ru-RU" w:bidi="ru-RU"/>
    </w:rPr>
  </w:style>
  <w:style w:type="character" w:styleId="ListLabel134">
    <w:name w:val="ListLabel 134"/>
    <w:qFormat/>
    <w:rPr>
      <w:b/>
      <w:bCs/>
      <w:lang w:val="en-US"/>
    </w:rPr>
  </w:style>
  <w:style w:type="character" w:styleId="ListLabel135">
    <w:name w:val="ListLabel 135"/>
    <w:qFormat/>
    <w:rPr>
      <w:b/>
      <w:bCs/>
    </w:rPr>
  </w:style>
  <w:style w:type="character" w:styleId="ListLabel136">
    <w:name w:val="ListLabel 136"/>
    <w:qFormat/>
    <w:rPr>
      <w:color w:val="0000FF"/>
      <w:sz w:val="16"/>
      <w:szCs w:val="16"/>
      <w:u w:val="single"/>
    </w:rPr>
  </w:style>
  <w:style w:type="character" w:styleId="ListLabel137">
    <w:name w:val="ListLabel 137"/>
    <w:qFormat/>
    <w:rPr>
      <w:color w:val="0000FF"/>
      <w:sz w:val="16"/>
      <w:szCs w:val="16"/>
    </w:rPr>
  </w:style>
  <w:style w:type="character" w:styleId="ListLabel138">
    <w:name w:val="ListLabel 138"/>
    <w:qFormat/>
    <w:rPr>
      <w:bCs/>
      <w:sz w:val="20"/>
      <w:szCs w:val="20"/>
      <w:lang w:val="en-US"/>
    </w:rPr>
  </w:style>
  <w:style w:type="character" w:styleId="ListLabel139">
    <w:name w:val="ListLabel 139"/>
    <w:qFormat/>
    <w:rPr>
      <w:bCs/>
      <w:sz w:val="20"/>
      <w:szCs w:val="20"/>
    </w:rPr>
  </w:style>
  <w:style w:type="character" w:styleId="ListLabel140">
    <w:name w:val="ListLabel 140"/>
    <w:qFormat/>
    <w:rPr>
      <w:b/>
      <w:bCs/>
      <w:sz w:val="20"/>
      <w:szCs w:val="20"/>
      <w:lang w:val="en-US"/>
    </w:rPr>
  </w:style>
  <w:style w:type="character" w:styleId="ListLabel141">
    <w:name w:val="ListLabel 141"/>
    <w:qFormat/>
    <w:rPr>
      <w:b/>
      <w:bCs/>
      <w:sz w:val="20"/>
      <w:szCs w:val="20"/>
    </w:rPr>
  </w:style>
  <w:style w:type="paragraph" w:styleId="Style25">
    <w:name w:val="Заголовок"/>
    <w:basedOn w:val="Normal"/>
    <w:next w:val="Style26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26">
    <w:name w:val="Body Text"/>
    <w:basedOn w:val="Normal"/>
    <w:link w:val="a9"/>
    <w:rsid w:val="00aa2dfa"/>
    <w:pPr>
      <w:overflowPunct w:val="true"/>
      <w:spacing w:before="0" w:after="120"/>
      <w:textAlignment w:val="baseline"/>
    </w:pPr>
    <w:rPr>
      <w:sz w:val="20"/>
      <w:szCs w:val="20"/>
    </w:rPr>
  </w:style>
  <w:style w:type="paragraph" w:styleId="Style27">
    <w:name w:val="List"/>
    <w:basedOn w:val="Style26"/>
    <w:pPr/>
    <w:rPr>
      <w:rFonts w:cs="FreeSans"/>
    </w:rPr>
  </w:style>
  <w:style w:type="paragraph" w:styleId="Style28" w:customStyle="1">
    <w:name w:val="Caption"/>
    <w:basedOn w:val="Normal"/>
    <w:link w:val="af7"/>
    <w:uiPriority w:val="10"/>
    <w:qFormat/>
    <w:rsid w:val="00dc77d9"/>
    <w:pPr>
      <w:jc w:val="center"/>
    </w:pPr>
    <w:rPr>
      <w:b/>
      <w:bCs/>
      <w:sz w:val="28"/>
      <w:szCs w:val="28"/>
      <w:lang w:val="x-none" w:eastAsia="x-none"/>
    </w:rPr>
  </w:style>
  <w:style w:type="paragraph" w:styleId="Style29">
    <w:name w:val="Указатель"/>
    <w:basedOn w:val="Normal"/>
    <w:qFormat/>
    <w:pPr>
      <w:suppressLineNumbers/>
    </w:pPr>
    <w:rPr>
      <w:rFonts w:cs="FreeSans"/>
    </w:rPr>
  </w:style>
  <w:style w:type="paragraph" w:styleId="Style30">
    <w:name w:val="Header"/>
    <w:basedOn w:val="Normal"/>
    <w:link w:val="a5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1">
    <w:name w:val="Footer"/>
    <w:basedOn w:val="Normal"/>
    <w:link w:val="a7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2">
    <w:name w:val="Body Text Indent"/>
    <w:basedOn w:val="Normal"/>
    <w:link w:val="32"/>
    <w:rsid w:val="00aa2dfa"/>
    <w:pPr/>
    <w:rPr>
      <w:lang w:val="x-none" w:eastAsia="x-none"/>
    </w:rPr>
  </w:style>
  <w:style w:type="paragraph" w:styleId="BodyTextIndent3">
    <w:name w:val="Body Text Indent 3"/>
    <w:basedOn w:val="Normal"/>
    <w:qFormat/>
    <w:rsid w:val="00aa2dfa"/>
    <w:pPr>
      <w:overflowPunct w:val="true"/>
      <w:ind w:firstLine="426"/>
      <w:jc w:val="both"/>
      <w:textAlignment w:val="baseline"/>
    </w:pPr>
    <w:rPr/>
  </w:style>
  <w:style w:type="paragraph" w:styleId="71" w:customStyle="1">
    <w:name w:val="Основной текст (7)1"/>
    <w:basedOn w:val="Normal"/>
    <w:link w:val="7"/>
    <w:qFormat/>
    <w:rsid w:val="0074401f"/>
    <w:pPr>
      <w:shd w:val="clear" w:color="auto" w:fill="FFFFFF"/>
      <w:spacing w:lineRule="atLeast" w:line="240" w:before="0" w:after="300"/>
      <w:ind w:hanging="340"/>
      <w:jc w:val="both"/>
    </w:pPr>
    <w:rPr>
      <w:b/>
      <w:bCs/>
      <w:smallCaps/>
      <w:sz w:val="26"/>
      <w:szCs w:val="26"/>
      <w:lang w:val="x-none" w:eastAsia="x-none"/>
    </w:rPr>
  </w:style>
  <w:style w:type="paragraph" w:styleId="912" w:customStyle="1">
    <w:name w:val="Заголовок №91"/>
    <w:basedOn w:val="Normal"/>
    <w:link w:val="9"/>
    <w:qFormat/>
    <w:rsid w:val="00da3d07"/>
    <w:pPr>
      <w:shd w:val="clear" w:color="auto" w:fill="FFFFFF"/>
      <w:spacing w:lineRule="atLeast" w:line="240" w:before="360" w:after="0"/>
      <w:ind w:hanging="360"/>
      <w:outlineLvl w:val="8"/>
    </w:pPr>
    <w:rPr>
      <w:b/>
      <w:bCs/>
      <w:smallCaps/>
      <w:sz w:val="26"/>
      <w:szCs w:val="26"/>
      <w:lang w:val="x-none" w:eastAsia="x-none"/>
    </w:rPr>
  </w:style>
  <w:style w:type="paragraph" w:styleId="1011" w:customStyle="1">
    <w:name w:val="Заголовок №101"/>
    <w:basedOn w:val="Normal"/>
    <w:link w:val="10"/>
    <w:qFormat/>
    <w:rsid w:val="005640cf"/>
    <w:pPr>
      <w:shd w:val="clear" w:color="auto" w:fill="FFFFFF"/>
      <w:spacing w:lineRule="exact" w:line="586"/>
    </w:pPr>
    <w:rPr>
      <w:b/>
      <w:bCs/>
      <w:sz w:val="20"/>
      <w:szCs w:val="20"/>
      <w:lang w:val="x-none" w:eastAsia="x-none"/>
    </w:rPr>
  </w:style>
  <w:style w:type="paragraph" w:styleId="61" w:customStyle="1">
    <w:name w:val="Основной текст (6)"/>
    <w:basedOn w:val="Normal"/>
    <w:link w:val="6"/>
    <w:qFormat/>
    <w:rsid w:val="005640cf"/>
    <w:pPr>
      <w:shd w:val="clear" w:color="auto" w:fill="FFFFFF"/>
      <w:spacing w:lineRule="exact" w:line="355" w:before="60" w:after="0"/>
      <w:ind w:hanging="1380"/>
      <w:jc w:val="center"/>
    </w:pPr>
    <w:rPr>
      <w:b/>
      <w:bCs/>
      <w:sz w:val="23"/>
      <w:szCs w:val="23"/>
      <w:lang w:val="x-none" w:eastAsia="x-none"/>
    </w:rPr>
  </w:style>
  <w:style w:type="paragraph" w:styleId="811" w:customStyle="1">
    <w:name w:val="Основной текст (8)1"/>
    <w:basedOn w:val="Normal"/>
    <w:link w:val="81"/>
    <w:qFormat/>
    <w:rsid w:val="005640cf"/>
    <w:pPr>
      <w:shd w:val="clear" w:color="auto" w:fill="FFFFFF"/>
      <w:spacing w:lineRule="atLeast" w:line="240" w:before="120" w:after="120"/>
      <w:ind w:hanging="560"/>
      <w:jc w:val="both"/>
    </w:pPr>
    <w:rPr>
      <w:i/>
      <w:iCs/>
      <w:sz w:val="20"/>
      <w:szCs w:val="20"/>
      <w:lang w:val="x-none" w:eastAsia="x-none"/>
    </w:rPr>
  </w:style>
  <w:style w:type="paragraph" w:styleId="921" w:customStyle="1">
    <w:name w:val="Заголовок №9 (2)1"/>
    <w:basedOn w:val="Normal"/>
    <w:link w:val="92"/>
    <w:qFormat/>
    <w:rsid w:val="00d25ff1"/>
    <w:pPr>
      <w:shd w:val="clear" w:color="auto" w:fill="FFFFFF"/>
      <w:spacing w:lineRule="atLeast" w:line="240" w:before="0" w:after="360"/>
      <w:outlineLvl w:val="8"/>
    </w:pPr>
    <w:rPr>
      <w:b/>
      <w:bCs/>
      <w:sz w:val="26"/>
      <w:szCs w:val="26"/>
      <w:lang w:val="x-none" w:eastAsia="x-none"/>
    </w:rPr>
  </w:style>
  <w:style w:type="paragraph" w:styleId="15" w:customStyle="1">
    <w:name w:val="Подпись к таблице1"/>
    <w:basedOn w:val="Normal"/>
    <w:link w:val="ae"/>
    <w:qFormat/>
    <w:rsid w:val="00d25ff1"/>
    <w:pPr>
      <w:shd w:val="clear" w:color="auto" w:fill="FFFFFF"/>
      <w:spacing w:lineRule="atLeast" w:line="240"/>
    </w:pPr>
    <w:rPr>
      <w:i/>
      <w:iCs/>
      <w:sz w:val="20"/>
      <w:szCs w:val="20"/>
      <w:lang w:val="x-none" w:eastAsia="x-none"/>
    </w:rPr>
  </w:style>
  <w:style w:type="paragraph" w:styleId="1013" w:customStyle="1">
    <w:name w:val="Основной текст (10)1"/>
    <w:basedOn w:val="Normal"/>
    <w:link w:val="100"/>
    <w:qFormat/>
    <w:rsid w:val="00d25ff1"/>
    <w:pPr>
      <w:shd w:val="clear" w:color="auto" w:fill="FFFFFF"/>
      <w:spacing w:lineRule="atLeast" w:line="240"/>
      <w:ind w:hanging="560"/>
    </w:pPr>
    <w:rPr>
      <w:b/>
      <w:bCs/>
      <w:sz w:val="19"/>
      <w:szCs w:val="19"/>
      <w:lang w:val="x-none" w:eastAsia="x-none"/>
    </w:rPr>
  </w:style>
  <w:style w:type="paragraph" w:styleId="913" w:customStyle="1">
    <w:name w:val="Основной текст (9)1"/>
    <w:basedOn w:val="Normal"/>
    <w:link w:val="90"/>
    <w:qFormat/>
    <w:rsid w:val="00d25ff1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28" w:customStyle="1">
    <w:name w:val="Подпись к таблице (2)"/>
    <w:basedOn w:val="Normal"/>
    <w:link w:val="20"/>
    <w:qFormat/>
    <w:rsid w:val="00d25ff1"/>
    <w:pPr>
      <w:shd w:val="clear" w:color="auto" w:fill="FFFFFF"/>
      <w:spacing w:lineRule="atLeast" w:line="240"/>
    </w:pPr>
    <w:rPr>
      <w:i/>
      <w:iCs/>
      <w:sz w:val="19"/>
      <w:szCs w:val="19"/>
      <w:lang w:val="x-none" w:eastAsia="x-none"/>
    </w:rPr>
  </w:style>
  <w:style w:type="paragraph" w:styleId="Style33" w:customStyle="1">
    <w:name w:val="Список с точками"/>
    <w:basedOn w:val="Normal"/>
    <w:next w:val="Normal"/>
    <w:qFormat/>
    <w:rsid w:val="003d0980"/>
    <w:pPr>
      <w:tabs>
        <w:tab w:val="clear" w:pos="708"/>
        <w:tab w:val="left" w:pos="720" w:leader="none"/>
      </w:tabs>
      <w:spacing w:lineRule="exact" w:line="260" w:before="60" w:after="60"/>
      <w:ind w:left="720" w:hanging="720"/>
      <w:jc w:val="both"/>
      <w:outlineLvl w:val="6"/>
    </w:pPr>
    <w:rPr>
      <w:rFonts w:ascii="Vanta Light" w:hAnsi="Vanta Light"/>
      <w:kern w:val="2"/>
      <w:sz w:val="16"/>
      <w:szCs w:val="16"/>
    </w:rPr>
  </w:style>
  <w:style w:type="paragraph" w:styleId="29">
    <w:name w:val="TOC 2"/>
    <w:basedOn w:val="Normal"/>
    <w:next w:val="Normal"/>
    <w:autoRedefine/>
    <w:uiPriority w:val="39"/>
    <w:rsid w:val="00716026"/>
    <w:pPr>
      <w:ind w:left="240" w:hanging="0"/>
    </w:pPr>
    <w:rPr/>
  </w:style>
  <w:style w:type="paragraph" w:styleId="16">
    <w:name w:val="TOC 1"/>
    <w:basedOn w:val="Normal"/>
    <w:next w:val="Normal"/>
    <w:autoRedefine/>
    <w:uiPriority w:val="39"/>
    <w:rsid w:val="00716026"/>
    <w:pPr/>
    <w:rPr/>
  </w:style>
  <w:style w:type="paragraph" w:styleId="38">
    <w:name w:val="TOC 3"/>
    <w:basedOn w:val="Normal"/>
    <w:next w:val="Normal"/>
    <w:autoRedefine/>
    <w:uiPriority w:val="39"/>
    <w:rsid w:val="00f848cf"/>
    <w:pPr>
      <w:tabs>
        <w:tab w:val="clear" w:pos="708"/>
        <w:tab w:val="right" w:pos="9912" w:leader="dot"/>
      </w:tabs>
      <w:jc w:val="both"/>
    </w:pPr>
    <w:rPr>
      <w:color w:val="000000"/>
    </w:rPr>
  </w:style>
  <w:style w:type="paragraph" w:styleId="Xl22" w:customStyle="1">
    <w:name w:val="xl22"/>
    <w:basedOn w:val="Normal"/>
    <w:qFormat/>
    <w:rsid w:val="00141032"/>
    <w:pPr>
      <w:spacing w:before="100" w:after="100"/>
      <w:jc w:val="center"/>
    </w:pPr>
    <w:rPr>
      <w:szCs w:val="20"/>
    </w:rPr>
  </w:style>
  <w:style w:type="paragraph" w:styleId="NormalWeb">
    <w:name w:val="Normal (Web)"/>
    <w:basedOn w:val="Normal"/>
    <w:uiPriority w:val="99"/>
    <w:qFormat/>
    <w:rsid w:val="00627808"/>
    <w:pPr/>
    <w:rPr/>
  </w:style>
  <w:style w:type="paragraph" w:styleId="BalloonText">
    <w:name w:val="Balloon Text"/>
    <w:basedOn w:val="Normal"/>
    <w:link w:val="af5"/>
    <w:qFormat/>
    <w:rsid w:val="009832ef"/>
    <w:pPr/>
    <w:rPr>
      <w:rFonts w:ascii="Tahoma" w:hAnsi="Tahoma"/>
      <w:sz w:val="16"/>
      <w:szCs w:val="16"/>
      <w:lang w:val="x-none" w:eastAsia="x-none"/>
    </w:rPr>
  </w:style>
  <w:style w:type="paragraph" w:styleId="17" w:customStyle="1">
    <w:name w:val="Заголовок №1"/>
    <w:basedOn w:val="Normal"/>
    <w:link w:val="13"/>
    <w:qFormat/>
    <w:rsid w:val="00a8315a"/>
    <w:pPr>
      <w:shd w:val="clear" w:color="auto" w:fill="FFFFFF"/>
      <w:spacing w:lineRule="exact" w:line="307" w:before="0" w:after="300"/>
      <w:jc w:val="center"/>
      <w:outlineLvl w:val="0"/>
    </w:pPr>
    <w:rPr>
      <w:b/>
      <w:bCs/>
      <w:sz w:val="23"/>
      <w:szCs w:val="23"/>
      <w:lang w:val="x-none" w:eastAsia="x-none"/>
    </w:rPr>
  </w:style>
  <w:style w:type="paragraph" w:styleId="39" w:customStyle="1">
    <w:name w:val="Основной текст (3)"/>
    <w:basedOn w:val="Normal"/>
    <w:link w:val="36"/>
    <w:qFormat/>
    <w:rsid w:val="00a8315a"/>
    <w:pPr>
      <w:shd w:val="clear" w:color="auto" w:fill="FFFFFF"/>
      <w:spacing w:lineRule="exact" w:line="250"/>
      <w:jc w:val="both"/>
    </w:pPr>
    <w:rPr>
      <w:rFonts w:ascii="Arial Narrow" w:hAnsi="Arial Narrow"/>
      <w:sz w:val="19"/>
      <w:szCs w:val="19"/>
      <w:lang w:val="x-none" w:eastAsia="x-none"/>
    </w:rPr>
  </w:style>
  <w:style w:type="paragraph" w:styleId="44" w:customStyle="1">
    <w:name w:val="Основной текст (4)"/>
    <w:basedOn w:val="Normal"/>
    <w:link w:val="42"/>
    <w:qFormat/>
    <w:rsid w:val="00a8315a"/>
    <w:pPr>
      <w:shd w:val="clear" w:color="auto" w:fill="FFFFFF"/>
      <w:spacing w:lineRule="atLeast" w:line="240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84" w:customStyle="1">
    <w:name w:val="Основной текст (8)"/>
    <w:basedOn w:val="Normal"/>
    <w:qFormat/>
    <w:rsid w:val="00a8315a"/>
    <w:pPr>
      <w:shd w:val="clear" w:color="auto" w:fill="FFFFFF"/>
      <w:spacing w:lineRule="exact" w:line="269" w:before="360" w:after="660"/>
      <w:jc w:val="center"/>
    </w:pPr>
    <w:rPr>
      <w:rFonts w:eastAsia="DejaVu Sans"/>
      <w:sz w:val="20"/>
      <w:szCs w:val="20"/>
    </w:rPr>
  </w:style>
  <w:style w:type="paragraph" w:styleId="210" w:customStyle="1">
    <w:name w:val="Заголовок №2"/>
    <w:basedOn w:val="Normal"/>
    <w:link w:val="23"/>
    <w:qFormat/>
    <w:rsid w:val="00a8315a"/>
    <w:pPr>
      <w:shd w:val="clear" w:color="auto" w:fill="FFFFFF"/>
      <w:spacing w:lineRule="atLeast" w:line="240" w:before="660" w:after="120"/>
      <w:jc w:val="center"/>
      <w:outlineLvl w:val="1"/>
    </w:pPr>
    <w:rPr>
      <w:b/>
      <w:bCs/>
      <w:sz w:val="22"/>
      <w:szCs w:val="22"/>
      <w:lang w:val="x-none" w:eastAsia="x-none"/>
    </w:rPr>
  </w:style>
  <w:style w:type="paragraph" w:styleId="97" w:customStyle="1">
    <w:name w:val="Основной текст (9)"/>
    <w:basedOn w:val="Normal"/>
    <w:qFormat/>
    <w:rsid w:val="00a8315a"/>
    <w:pPr>
      <w:shd w:val="clear" w:color="auto" w:fill="FFFFFF"/>
      <w:spacing w:lineRule="exact" w:line="706" w:before="120" w:after="0"/>
      <w:jc w:val="right"/>
    </w:pPr>
    <w:rPr>
      <w:rFonts w:eastAsia="DejaVu Sans"/>
      <w:sz w:val="22"/>
      <w:szCs w:val="22"/>
    </w:rPr>
  </w:style>
  <w:style w:type="paragraph" w:styleId="222" w:customStyle="1">
    <w:name w:val="Заголовок №2 (2)"/>
    <w:basedOn w:val="Normal"/>
    <w:link w:val="220"/>
    <w:qFormat/>
    <w:rsid w:val="00a8315a"/>
    <w:pPr>
      <w:shd w:val="clear" w:color="auto" w:fill="FFFFFF"/>
      <w:spacing w:lineRule="exact" w:line="566" w:before="420" w:after="60"/>
      <w:jc w:val="right"/>
      <w:outlineLvl w:val="1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Style34" w:customStyle="1">
    <w:name w:val="Стиль Интелис"/>
    <w:basedOn w:val="Normal"/>
    <w:qFormat/>
    <w:rsid w:val="007f0245"/>
    <w:pPr>
      <w:spacing w:before="120" w:after="120"/>
      <w:ind w:firstLine="567"/>
      <w:jc w:val="both"/>
    </w:pPr>
    <w:rPr>
      <w:rFonts w:ascii="Myriad Pro Cond" w:hAnsi="Myriad Pro Cond"/>
      <w:szCs w:val="20"/>
    </w:rPr>
  </w:style>
  <w:style w:type="paragraph" w:styleId="Caption">
    <w:name w:val="caption"/>
    <w:basedOn w:val="Normal"/>
    <w:next w:val="Normal"/>
    <w:link w:val="afa"/>
    <w:qFormat/>
    <w:rsid w:val="007f0245"/>
    <w:pPr/>
    <w:rPr>
      <w:b/>
      <w:bCs/>
      <w:sz w:val="20"/>
      <w:szCs w:val="20"/>
      <w:lang w:val="x-none" w:eastAsia="x-none"/>
    </w:rPr>
  </w:style>
  <w:style w:type="paragraph" w:styleId="Style35">
    <w:name w:val="Footnote Text"/>
    <w:basedOn w:val="Normal"/>
    <w:link w:val="15"/>
    <w:rsid w:val="007f0245"/>
    <w:pPr/>
    <w:rPr>
      <w:sz w:val="20"/>
      <w:szCs w:val="20"/>
    </w:rPr>
  </w:style>
  <w:style w:type="paragraph" w:styleId="EBody" w:customStyle="1">
    <w:name w:val="EBody"/>
    <w:basedOn w:val="Normal"/>
    <w:qFormat/>
    <w:rsid w:val="007f0245"/>
    <w:pPr>
      <w:spacing w:before="60" w:after="60"/>
      <w:ind w:firstLine="567"/>
    </w:pPr>
    <w:rPr>
      <w:rFonts w:ascii="Tahoma" w:hAnsi="Tahoma"/>
      <w:sz w:val="18"/>
      <w:szCs w:val="20"/>
    </w:rPr>
  </w:style>
  <w:style w:type="paragraph" w:styleId="310" w:customStyle="1">
    <w:name w:val="Стиль Заголовок 3"/>
    <w:basedOn w:val="3"/>
    <w:qFormat/>
    <w:rsid w:val="00531b07"/>
    <w:pPr/>
    <w:rPr>
      <w:rFonts w:ascii="Myriad Pro Cond" w:hAnsi="Myriad Pro Cond" w:cs="Times New Roman"/>
      <w:color w:val="127BCA"/>
      <w:sz w:val="24"/>
      <w:szCs w:val="24"/>
      <w:lang w:val="x-none" w:eastAsia="x-none"/>
    </w:rPr>
  </w:style>
  <w:style w:type="paragraph" w:styleId="18" w:customStyle="1">
    <w:name w:val="Стиль Заголовок 1"/>
    <w:basedOn w:val="1"/>
    <w:next w:val="Normal"/>
    <w:qFormat/>
    <w:rsid w:val="009c6f89"/>
    <w:pPr>
      <w:pageBreakBefore/>
      <w:tabs>
        <w:tab w:val="left" w:pos="-1260" w:leader="none"/>
        <w:tab w:val="left" w:pos="-900" w:leader="none"/>
        <w:tab w:val="left" w:pos="680" w:leader="none"/>
        <w:tab w:val="left" w:pos="2160" w:leader="none"/>
        <w:tab w:val="left" w:pos="7230" w:leader="none"/>
      </w:tabs>
      <w:overflowPunct w:val="false"/>
      <w:jc w:val="left"/>
      <w:textAlignment w:val="auto"/>
    </w:pPr>
    <w:rPr>
      <w:rFonts w:ascii="Myriad Pro Cond" w:hAnsi="Myriad Pro Cond"/>
      <w:bCs/>
      <w:color w:val="127BCA"/>
      <w:kern w:val="2"/>
      <w:sz w:val="32"/>
      <w:szCs w:val="32"/>
    </w:rPr>
  </w:style>
  <w:style w:type="paragraph" w:styleId="211" w:customStyle="1">
    <w:name w:val="Стиль Заголовок 2"/>
    <w:basedOn w:val="2"/>
    <w:next w:val="Normal"/>
    <w:qFormat/>
    <w:rsid w:val="009c6f89"/>
    <w:pPr>
      <w:tabs>
        <w:tab w:val="clear" w:pos="708"/>
        <w:tab w:val="left" w:pos="851" w:leader="none"/>
      </w:tabs>
      <w:overflowPunct w:val="false"/>
      <w:spacing w:lineRule="auto" w:line="240" w:before="120" w:after="120"/>
      <w:jc w:val="left"/>
      <w:textAlignment w:val="auto"/>
    </w:pPr>
    <w:rPr>
      <w:rFonts w:ascii="Myriad Pro Cond" w:hAnsi="Myriad Pro Cond" w:cs="Arial"/>
      <w:color w:val="127BCA"/>
      <w:sz w:val="28"/>
      <w:szCs w:val="20"/>
    </w:rPr>
  </w:style>
  <w:style w:type="paragraph" w:styleId="311" w:customStyle="1">
    <w:name w:val="Основной текст (3)1"/>
    <w:basedOn w:val="Normal"/>
    <w:qFormat/>
    <w:rsid w:val="00687628"/>
    <w:pPr>
      <w:shd w:val="clear" w:color="auto" w:fill="FFFFFF"/>
      <w:spacing w:lineRule="atLeast" w:line="240"/>
    </w:pPr>
    <w:rPr>
      <w:b/>
      <w:bCs/>
      <w:sz w:val="19"/>
      <w:szCs w:val="19"/>
    </w:rPr>
  </w:style>
  <w:style w:type="paragraph" w:styleId="1211" w:customStyle="1">
    <w:name w:val="Заголовок №1 (2)1"/>
    <w:basedOn w:val="Normal"/>
    <w:link w:val="120"/>
    <w:qFormat/>
    <w:rsid w:val="00b56d43"/>
    <w:pPr>
      <w:shd w:val="clear" w:color="auto" w:fill="FFFFFF"/>
      <w:spacing w:lineRule="atLeast" w:line="240" w:before="300" w:after="300"/>
      <w:outlineLvl w:val="0"/>
    </w:pPr>
    <w:rPr>
      <w:b/>
      <w:bCs/>
      <w:sz w:val="28"/>
      <w:szCs w:val="28"/>
      <w:lang w:val="x-none" w:eastAsia="x-none"/>
    </w:rPr>
  </w:style>
  <w:style w:type="paragraph" w:styleId="411" w:customStyle="1">
    <w:name w:val="Основной текст (4)1"/>
    <w:basedOn w:val="Normal"/>
    <w:qFormat/>
    <w:rsid w:val="00b56d43"/>
    <w:pPr>
      <w:shd w:val="clear" w:color="auto" w:fill="FFFFFF"/>
      <w:spacing w:lineRule="atLeast" w:line="240"/>
    </w:pPr>
    <w:rPr>
      <w:b/>
      <w:bCs/>
      <w:sz w:val="16"/>
      <w:szCs w:val="16"/>
    </w:rPr>
  </w:style>
  <w:style w:type="paragraph" w:styleId="51" w:customStyle="1">
    <w:name w:val="Основной текст (5)"/>
    <w:basedOn w:val="Normal"/>
    <w:link w:val="5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Style36" w:customStyle="1">
    <w:name w:val="Подпись к таблице"/>
    <w:basedOn w:val="Normal"/>
    <w:qFormat/>
    <w:rsid w:val="00b56d43"/>
    <w:pPr>
      <w:shd w:val="clear" w:color="auto" w:fill="FFFFFF"/>
      <w:spacing w:lineRule="exact" w:line="269"/>
    </w:pPr>
    <w:rPr/>
  </w:style>
  <w:style w:type="paragraph" w:styleId="212" w:customStyle="1">
    <w:name w:val="Подпись к таблице (2)1"/>
    <w:basedOn w:val="Normal"/>
    <w:qFormat/>
    <w:rsid w:val="00b56d43"/>
    <w:pPr>
      <w:shd w:val="clear" w:color="auto" w:fill="FFFFFF"/>
      <w:spacing w:lineRule="exact" w:line="269"/>
    </w:pPr>
    <w:rPr>
      <w:b/>
      <w:bCs/>
    </w:rPr>
  </w:style>
  <w:style w:type="paragraph" w:styleId="213" w:customStyle="1">
    <w:name w:val="Основной текст (2)1"/>
    <w:basedOn w:val="Normal"/>
    <w:link w:val="26"/>
    <w:qFormat/>
    <w:rsid w:val="00b56d43"/>
    <w:pPr>
      <w:shd w:val="clear" w:color="auto" w:fill="FFFFFF"/>
      <w:spacing w:lineRule="atLeast" w:line="240"/>
    </w:pPr>
    <w:rPr>
      <w:sz w:val="20"/>
      <w:szCs w:val="20"/>
      <w:lang w:val="x-none" w:eastAsia="x-none"/>
    </w:rPr>
  </w:style>
  <w:style w:type="paragraph" w:styleId="312" w:customStyle="1">
    <w:name w:val="Подпись к таблице (3)1"/>
    <w:basedOn w:val="Normal"/>
    <w:link w:val="38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BodyText3">
    <w:name w:val="Body Text 3"/>
    <w:basedOn w:val="Normal"/>
    <w:link w:val="3b"/>
    <w:qFormat/>
    <w:rsid w:val="00391129"/>
    <w:pPr>
      <w:spacing w:before="0" w:after="120"/>
    </w:pPr>
    <w:rPr>
      <w:sz w:val="16"/>
      <w:szCs w:val="16"/>
      <w:lang w:val="x-none" w:eastAsia="x-none"/>
    </w:rPr>
  </w:style>
  <w:style w:type="paragraph" w:styleId="19" w:customStyle="1">
    <w:name w:val="Текст1"/>
    <w:basedOn w:val="Normal"/>
    <w:qFormat/>
    <w:rsid w:val="00915538"/>
    <w:pPr>
      <w:overflowPunct w:val="true"/>
      <w:textAlignment w:val="baseline"/>
    </w:pPr>
    <w:rPr>
      <w:rFonts w:ascii="Courier New" w:hAnsi="Courier New"/>
      <w:sz w:val="20"/>
      <w:szCs w:val="20"/>
    </w:rPr>
  </w:style>
  <w:style w:type="paragraph" w:styleId="Default" w:customStyle="1">
    <w:name w:val="default"/>
    <w:basedOn w:val="Normal"/>
    <w:qFormat/>
    <w:rsid w:val="00915538"/>
    <w:pPr>
      <w:spacing w:before="100" w:after="0"/>
    </w:pPr>
    <w:rPr>
      <w:rFonts w:ascii="Tahoma" w:hAnsi="Tahoma" w:eastAsia="Arial Unicode MS" w:cs="Tahoma"/>
      <w:sz w:val="16"/>
      <w:szCs w:val="16"/>
    </w:rPr>
  </w:style>
  <w:style w:type="paragraph" w:styleId="110" w:customStyle="1">
    <w:name w:val="Обычный1"/>
    <w:qFormat/>
    <w:rsid w:val="0091553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214" w:customStyle="1">
    <w:name w:val="Заголовок 21"/>
    <w:basedOn w:val="Normal"/>
    <w:uiPriority w:val="1"/>
    <w:qFormat/>
    <w:rsid w:val="00915538"/>
    <w:pPr>
      <w:widowControl w:val="false"/>
      <w:ind w:left="798" w:hanging="681"/>
      <w:outlineLvl w:val="2"/>
    </w:pPr>
    <w:rPr>
      <w:rFonts w:ascii="Arial" w:hAnsi="Arial" w:eastAsia="Arial"/>
      <w:b/>
      <w:bCs/>
      <w:sz w:val="22"/>
      <w:szCs w:val="22"/>
      <w:lang w:val="en-US" w:eastAsia="en-US"/>
    </w:rPr>
  </w:style>
  <w:style w:type="paragraph" w:styleId="215" w:customStyle="1">
    <w:name w:val="заголовок 2"/>
    <w:basedOn w:val="Normal"/>
    <w:next w:val="Normal"/>
    <w:autoRedefine/>
    <w:qFormat/>
    <w:rsid w:val="006b4cc5"/>
    <w:pPr>
      <w:keepNext w:val="true"/>
      <w:spacing w:before="120" w:after="60"/>
      <w:jc w:val="center"/>
      <w:outlineLvl w:val="1"/>
    </w:pPr>
    <w:rPr>
      <w:b/>
      <w:sz w:val="32"/>
      <w:szCs w:val="32"/>
    </w:rPr>
  </w:style>
  <w:style w:type="paragraph" w:styleId="Style37" w:customStyle="1">
    <w:name w:val="Сумма прописью"/>
    <w:basedOn w:val="Normal"/>
    <w:qFormat/>
    <w:rsid w:val="006b4cc5"/>
    <w:pPr>
      <w:tabs>
        <w:tab w:val="clear" w:pos="708"/>
        <w:tab w:val="left" w:pos="284" w:leader="none"/>
      </w:tabs>
      <w:spacing w:before="0" w:after="120"/>
      <w:ind w:firstLine="567"/>
      <w:jc w:val="both"/>
    </w:pPr>
    <w:rPr>
      <w:rFonts w:eastAsia="MS Sans Serif"/>
      <w:sz w:val="28"/>
      <w:szCs w:val="20"/>
    </w:rPr>
  </w:style>
  <w:style w:type="paragraph" w:styleId="Formattext" w:customStyle="1">
    <w:name w:val="formattext"/>
    <w:basedOn w:val="Normal"/>
    <w:qFormat/>
    <w:rsid w:val="00373ce0"/>
    <w:pPr>
      <w:spacing w:beforeAutospacing="1" w:afterAutospacing="1"/>
    </w:pPr>
    <w:rPr/>
  </w:style>
  <w:style w:type="paragraph" w:styleId="Style38" w:customStyle="1">
    <w:name w:val="Таблица-текст"/>
    <w:basedOn w:val="Normal"/>
    <w:uiPriority w:val="99"/>
    <w:qFormat/>
    <w:rsid w:val="000c4e6b"/>
    <w:pPr>
      <w:spacing w:before="40" w:after="40"/>
      <w:jc w:val="both"/>
    </w:pPr>
    <w:rPr>
      <w:sz w:val="22"/>
      <w:szCs w:val="20"/>
    </w:rPr>
  </w:style>
  <w:style w:type="paragraph" w:styleId="52" w:customStyle="1">
    <w:name w:val="Основной текст5"/>
    <w:basedOn w:val="Normal"/>
    <w:link w:val="aff1"/>
    <w:qFormat/>
    <w:rsid w:val="00d1470f"/>
    <w:pPr>
      <w:widowControl w:val="false"/>
      <w:shd w:val="clear" w:color="auto" w:fill="FFFFFF"/>
      <w:spacing w:lineRule="exact" w:line="360"/>
      <w:ind w:hanging="1840"/>
      <w:jc w:val="right"/>
    </w:pPr>
    <w:rPr>
      <w:rFonts w:ascii="Arial Unicode MS" w:hAnsi="Arial Unicode MS" w:eastAsia="Arial Unicode MS" w:cs="Arial Unicode MS"/>
      <w:sz w:val="20"/>
      <w:szCs w:val="20"/>
    </w:rPr>
  </w:style>
  <w:style w:type="paragraph" w:styleId="Default1" w:customStyle="1">
    <w:name w:val="Default"/>
    <w:uiPriority w:val="99"/>
    <w:qFormat/>
    <w:rsid w:val="00e2686a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NoSpacing">
    <w:name w:val="No Spacing"/>
    <w:uiPriority w:val="1"/>
    <w:qFormat/>
    <w:rsid w:val="00a1045a"/>
    <w:pPr>
      <w:widowControl w:val="false"/>
      <w:bidi w:val="0"/>
      <w:jc w:val="left"/>
    </w:pPr>
    <w:rPr>
      <w:rFonts w:ascii="Courier New" w:hAnsi="Courier New" w:eastAsia="Courier New" w:cs="Courier New"/>
      <w:color w:val="000000"/>
      <w:kern w:val="0"/>
      <w:sz w:val="24"/>
      <w:szCs w:val="24"/>
      <w:lang w:bidi="ru-RU" w:val="ru-RU" w:eastAsia="ru-RU"/>
    </w:rPr>
  </w:style>
  <w:style w:type="paragraph" w:styleId="Style39" w:customStyle="1">
    <w:name w:val="Нумерованный"/>
    <w:basedOn w:val="Normal"/>
    <w:qFormat/>
    <w:rsid w:val="00af6be0"/>
    <w:pPr>
      <w:widowControl w:val="false"/>
      <w:ind w:right="284" w:hanging="0"/>
      <w:jc w:val="both"/>
    </w:pPr>
    <w:rPr>
      <w:rFonts w:eastAsia="Calibri"/>
      <w:bCs/>
      <w:szCs w:val="23"/>
    </w:rPr>
  </w:style>
  <w:style w:type="paragraph" w:styleId="BodyTextIndent2">
    <w:name w:val="Body Text Indent 2"/>
    <w:basedOn w:val="Normal"/>
    <w:link w:val="2b"/>
    <w:qFormat/>
    <w:rsid w:val="00af6be0"/>
    <w:pPr>
      <w:spacing w:lineRule="auto" w:line="480" w:before="0" w:after="120"/>
      <w:ind w:left="283" w:hanging="0"/>
    </w:pPr>
    <w:rPr/>
  </w:style>
  <w:style w:type="paragraph" w:styleId="ListParagraph">
    <w:name w:val="List Paragraph"/>
    <w:basedOn w:val="Normal"/>
    <w:uiPriority w:val="34"/>
    <w:qFormat/>
    <w:rsid w:val="00af6be0"/>
    <w:pPr>
      <w:spacing w:before="0" w:after="0"/>
      <w:ind w:left="720" w:hanging="0"/>
      <w:contextualSpacing/>
    </w:pPr>
    <w:rPr>
      <w:sz w:val="20"/>
      <w:szCs w:val="20"/>
      <w:lang w:val="en-US" w:eastAsia="en-US"/>
    </w:rPr>
  </w:style>
  <w:style w:type="paragraph" w:styleId="Xl30" w:customStyle="1">
    <w:name w:val="xl30"/>
    <w:basedOn w:val="Normal"/>
    <w:qFormat/>
    <w:rsid w:val="000a5694"/>
    <w:pPr>
      <w:pBdr>
        <w:left w:val="double" w:sz="6" w:space="0" w:color="000000"/>
      </w:pBdr>
      <w:spacing w:beforeAutospacing="1" w:afterAutospacing="1"/>
    </w:pPr>
    <w:rPr>
      <w:rFonts w:ascii="Arial Unicode MS" w:hAnsi="Arial Unicode MS" w:eastAsia="Arial Unicode MS" w:cs="Arial Unicode MS"/>
    </w:rPr>
  </w:style>
  <w:style w:type="paragraph" w:styleId="Annotationtext">
    <w:name w:val="annotation text"/>
    <w:basedOn w:val="Normal"/>
    <w:link w:val="aff5"/>
    <w:uiPriority w:val="99"/>
    <w:unhideWhenUsed/>
    <w:qFormat/>
    <w:rsid w:val="00326c27"/>
    <w:pPr/>
    <w:rPr>
      <w:sz w:val="20"/>
      <w:szCs w:val="20"/>
    </w:rPr>
  </w:style>
  <w:style w:type="paragraph" w:styleId="102" w:customStyle="1">
    <w:name w:val="Стиль10"/>
    <w:basedOn w:val="Normal"/>
    <w:uiPriority w:val="99"/>
    <w:qFormat/>
    <w:rsid w:val="00326c27"/>
    <w:pPr>
      <w:jc w:val="center"/>
    </w:pPr>
    <w:rPr>
      <w:sz w:val="20"/>
      <w:szCs w:val="20"/>
      <w:lang w:eastAsia="en-US"/>
    </w:rPr>
  </w:style>
  <w:style w:type="paragraph" w:styleId="ConsPlusNormal" w:customStyle="1">
    <w:name w:val="ConsPlusNormal"/>
    <w:uiPriority w:val="99"/>
    <w:qFormat/>
    <w:rsid w:val="00da0c0f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kern w:val="0"/>
      <w:sz w:val="24"/>
      <w:szCs w:val="20"/>
      <w:lang w:val="ru-RU" w:eastAsia="ru-RU" w:bidi="ar-SA"/>
    </w:rPr>
  </w:style>
  <w:style w:type="paragraph" w:styleId="111" w:customStyle="1">
    <w:name w:val="Основной текст1"/>
    <w:basedOn w:val="Normal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0" w:customStyle="1">
    <w:name w:val="Другое"/>
    <w:basedOn w:val="Normal"/>
    <w:link w:val="aff6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1" w:customStyle="1">
    <w:name w:val="Подпись к картинке"/>
    <w:basedOn w:val="Normal"/>
    <w:link w:val="aff8"/>
    <w:qFormat/>
    <w:rsid w:val="00da0c0f"/>
    <w:pPr>
      <w:widowControl w:val="false"/>
      <w:shd w:val="clear" w:color="auto" w:fill="FFFFFF"/>
    </w:pPr>
    <w:rPr>
      <w:sz w:val="13"/>
      <w:szCs w:val="13"/>
    </w:rPr>
  </w:style>
  <w:style w:type="paragraph" w:styleId="Style42">
    <w:name w:val="Содержимое врезки"/>
    <w:basedOn w:val="Normal"/>
    <w:qFormat/>
    <w:pPr/>
    <w:rPr/>
  </w:style>
  <w:style w:type="paragraph" w:styleId="Style43">
    <w:name w:val="Содержимое таблицы"/>
    <w:basedOn w:val="Normal"/>
    <w:qFormat/>
    <w:pPr>
      <w:suppressLineNumbers/>
    </w:pPr>
    <w:rPr/>
  </w:style>
  <w:style w:type="paragraph" w:styleId="Style44">
    <w:name w:val="Заголовок таблицы"/>
    <w:basedOn w:val="Style43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2"/>
    <w:uiPriority w:val="59"/>
    <w:rsid w:val="00aa2df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Light Shading Accent 1"/>
    <w:basedOn w:val="a2"/>
    <w:uiPriority w:val="60"/>
    <w:unhideWhenUsed/>
    <w:rsid w:val="003c4c00"/>
    <w:rPr>
      <w:color w:val="2E74B5" w:themeColor="accent1" w:themeShade="bf"/>
    </w:rPr>
    <w:tblPr>
      <w:tblStyleRowBandSize w:val="1"/>
      <w:tblStyleColBandSize w:val="1"/>
      <w:tblInd w:w="0" w:type="nil"/>
      <w:tblBorders>
        <w:top w:val="single" w:color="5B9BD5" w:themeColor="accent1" w:sz="8" w:space="0"/>
        <w:bottom w:val="single" w:color="5B9BD5" w:themeColor="accent1" w:sz="8" w:space="0"/>
      </w:tblBorders>
    </w:tblPr>
    <w:tblStylePr w:type="fir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hyperlink" Target="http://www.emex.ru/" TargetMode="External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hyperlink" Target="https://www.globalrent.ru/" TargetMode="External"/><Relationship Id="rId20" Type="http://schemas.openxmlformats.org/officeDocument/2006/relationships/hyperlink" Target="https://nivus.ru/" TargetMode="External"/><Relationship Id="rId21" Type="http://schemas.openxmlformats.org/officeDocument/2006/relationships/hyperlink" Target="http://pro-pokraska.ru/" TargetMode="External"/><Relationship Id="rId22" Type="http://schemas.openxmlformats.org/officeDocument/2006/relationships/hyperlink" Target="https://symbol-service.ru/" TargetMode="External"/><Relationship Id="rId23" Type="http://schemas.openxmlformats.org/officeDocument/2006/relationships/hyperlink" Target="https://pitstopcolor.ru/" TargetMode="External"/><Relationship Id="rId24" Type="http://schemas.openxmlformats.org/officeDocument/2006/relationships/image" Target="media/image17.jpeg"/><Relationship Id="rId25" Type="http://schemas.openxmlformats.org/officeDocument/2006/relationships/hyperlink" Target="mailto:euro.otsenka@gmail.com" TargetMode="External"/><Relationship Id="rId26" Type="http://schemas.openxmlformats.org/officeDocument/2006/relationships/hyperlink" Target="mailto:euro.otsenka@gmail.com" TargetMode="External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2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jpeg"/><Relationship Id="rId60" Type="http://schemas.openxmlformats.org/officeDocument/2006/relationships/image" Target="media/image51.jpeg"/><Relationship Id="rId61" Type="http://schemas.openxmlformats.org/officeDocument/2006/relationships/image" Target="media/image52.jpeg"/><Relationship Id="rId62" Type="http://schemas.openxmlformats.org/officeDocument/2006/relationships/image" Target="media/image53.jpeg"/><Relationship Id="rId63" Type="http://schemas.openxmlformats.org/officeDocument/2006/relationships/image" Target="media/image54.jpeg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jpeg"/><Relationship Id="rId67" Type="http://schemas.openxmlformats.org/officeDocument/2006/relationships/image" Target="media/image58.jpeg"/><Relationship Id="rId68" Type="http://schemas.openxmlformats.org/officeDocument/2006/relationships/image" Target="media/image59.jpeg"/><Relationship Id="rId69" Type="http://schemas.openxmlformats.org/officeDocument/2006/relationships/image" Target="media/image60.jpeg"/><Relationship Id="rId70" Type="http://schemas.openxmlformats.org/officeDocument/2006/relationships/image" Target="media/image61.jpeg"/><Relationship Id="rId71" Type="http://schemas.openxmlformats.org/officeDocument/2006/relationships/image" Target="media/image62.jpeg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image" Target="media/image70.jpeg"/><Relationship Id="rId80" Type="http://schemas.openxmlformats.org/officeDocument/2006/relationships/image" Target="media/image71.jpeg"/><Relationship Id="rId81" Type="http://schemas.openxmlformats.org/officeDocument/2006/relationships/image" Target="media/image72.jpe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header" Target="header1.xml"/><Relationship Id="rId85" Type="http://schemas.openxmlformats.org/officeDocument/2006/relationships/footer" Target="footer1.xml"/><Relationship Id="rId86" Type="http://schemas.openxmlformats.org/officeDocument/2006/relationships/numbering" Target="numbering.xml"/><Relationship Id="rId87" Type="http://schemas.openxmlformats.org/officeDocument/2006/relationships/fontTable" Target="fontTable.xml"/><Relationship Id="rId88" Type="http://schemas.openxmlformats.org/officeDocument/2006/relationships/settings" Target="settings.xml"/><Relationship Id="rId89" Type="http://schemas.openxmlformats.org/officeDocument/2006/relationships/theme" Target="theme/theme1.xml"/><Relationship Id="rId90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942433-A9FF-479F-8BA0-D02C4D896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Application>LibreOffice/6.1.5.2$Linux_X86_64 LibreOffice_project/10$Build-2</Application>
  <Pages>37</Pages>
  <Words>7457</Words>
  <Characters>49932</Characters>
  <CharactersWithSpaces>56757</CharactersWithSpaces>
  <Paragraphs>1172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2023-04-30T08:14:00Z</dcterms:created>
  <dc:creator>Владимир</dc:creator>
  <dc:description/>
  <dc:language>ru-RU</dc:language>
  <cp:lastModifiedBy/>
  <cp:lastPrinted>2018-03-21T12:29:00Z</cp:lastPrinted>
  <dcterms:modified xsi:type="dcterms:W3CDTF">2023-07-12T10:10:53Z</dcterms:modified>
  <cp:revision>7</cp:revision>
  <dc:subject/>
  <dc:title>СК-ОЦЕНКА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