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39.jpeg" ContentType="image/jpeg"/>
  <Override PartName="/word/media/image38.jpeg" ContentType="image/jpeg"/>
  <Override PartName="/word/media/image34.jpeg" ContentType="image/jpeg"/>
  <Override PartName="/word/media/image33.jpeg" ContentType="image/jpe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32.jpeg" ContentType="image/jpeg"/>
  <Override PartName="/word/media/image23.wmf" ContentType="image/x-wmf"/>
  <Override PartName="/word/media/image25.jpeg" ContentType="image/jpeg"/>
  <Override PartName="/word/media/image9.jpeg" ContentType="image/jpeg"/>
  <Override PartName="/word/media/image24.jpeg" ContentType="image/jpeg"/>
  <Override PartName="/word/media/image8.jpeg" ContentType="image/jpeg"/>
  <Override PartName="/word/media/image7.jpeg" ContentType="image/jpeg"/>
  <Override PartName="/word/media/image35.jpeg" ContentType="image/jpeg"/>
  <Override PartName="/word/media/image10.jpeg" ContentType="image/jpeg"/>
  <Override PartName="/word/media/image6.jpeg" ContentType="image/jpeg"/>
  <Override PartName="/word/media/image22.jpeg" ContentType="image/jpeg"/>
  <Override PartName="/word/media/image5.jpeg" ContentType="image/jpeg"/>
  <Override PartName="/word/media/image21.jpeg" ContentType="image/jpeg"/>
  <Override PartName="/word/media/image4.jpeg" ContentType="image/jpeg"/>
  <Override PartName="/word/media/image19.jpeg" ContentType="image/jpeg"/>
  <Override PartName="/word/media/image20.jpeg" ContentType="image/jpeg"/>
  <Override PartName="/word/media/image3.jpeg" ContentType="image/jpeg"/>
  <Override PartName="/word/media/image18.jpeg" ContentType="image/jpeg"/>
  <Override PartName="/word/media/image36.jpeg" ContentType="image/jpeg"/>
  <Override PartName="/word/media/image11.jpeg" ContentType="image/jpeg"/>
  <Override PartName="/word/media/image42.jpeg" ContentType="image/jpeg"/>
  <Override PartName="/word/media/image37.jpeg" ContentType="image/jpeg"/>
  <Override PartName="/word/media/image12.jpeg" ContentType="image/jpeg"/>
  <Override PartName="/word/media/image43.jpeg" ContentType="image/jpeg"/>
  <Override PartName="/word/media/image13.jpeg" ContentType="image/jpeg"/>
  <Override PartName="/word/media/image44.jpeg" ContentType="image/jpeg"/>
  <Override PartName="/word/media/image40.jpeg" ContentType="image/jpeg"/>
  <Override PartName="/word/media/image14.jpeg" ContentType="image/jpeg"/>
  <Override PartName="/word/media/image45.jpeg" ContentType="image/jpeg"/>
  <Override PartName="/word/media/image41.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567" w:hanging="1134"/>
        <w:jc w:val="center"/>
        <w:rPr/>
      </w:pPr>
      <w:r>
        <w:rPr>
          <w:bCs/>
          <w:sz w:val="20"/>
          <w:szCs w:val="20"/>
        </w:rPr>
        <w:t xml:space="preserve">                   </w:t>
      </w:r>
      <w:r>
        <w:rPr>
          <w:bCs/>
          <w:sz w:val="20"/>
          <w:szCs w:val="20"/>
        </w:rPr>
        <w:t>ОГРН 1127747107553</w:t>
      </w:r>
      <w:r>
        <w:rPr>
          <w:bCs/>
          <w:sz w:val="20"/>
          <w:szCs w:val="20"/>
        </w:rPr>
        <w:fldChar w:fldCharType="begin"/>
      </w:r>
      <w:r>
        <w:rPr>
          <w:sz w:val="20"/>
          <w:szCs w:val="20"/>
          <w:bCs/>
        </w:rPr>
        <w:instrText> MERGEFIELD ОГРН_оценщикаконтрактора </w:instrText>
      </w:r>
      <w:r>
        <w:rPr>
          <w:sz w:val="20"/>
          <w:szCs w:val="20"/>
          <w:bCs/>
        </w:rPr>
        <w:fldChar w:fldCharType="separate"/>
      </w:r>
      <w:r>
        <w:rPr>
          <w:sz w:val="20"/>
          <w:szCs w:val="20"/>
          <w:bCs/>
        </w:rPr>
      </w:r>
      <w:r>
        <w:rPr>
          <w:sz w:val="20"/>
          <w:szCs w:val="20"/>
          <w:bCs/>
        </w:rPr>
        <w:fldChar w:fldCharType="end"/>
      </w:r>
      <w:r>
        <w:rPr>
          <w:bCs/>
          <w:sz w:val="20"/>
          <w:szCs w:val="20"/>
        </w:rPr>
        <w:t xml:space="preserve">, ИНН/КПП 7709915321/772501001, </w:t>
        <w:br/>
        <w:t xml:space="preserve">Адрес: </w:t>
      </w:r>
      <w:r>
        <w:rPr>
          <w:bCs/>
          <w:sz w:val="20"/>
          <w:szCs w:val="20"/>
        </w:rPr>
        <w:fldChar w:fldCharType="begin"/>
      </w:r>
      <w:r>
        <w:rPr>
          <w:sz w:val="20"/>
          <w:szCs w:val="20"/>
          <w:bCs/>
        </w:rPr>
        <w:instrText> MERGEFIELD Юридический_адрес_оценщикаконтрактора </w:instrText>
      </w:r>
      <w:r>
        <w:rPr>
          <w:sz w:val="20"/>
          <w:szCs w:val="20"/>
          <w:bCs/>
        </w:rPr>
        <w:fldChar w:fldCharType="separate"/>
      </w:r>
      <w:r>
        <w:rPr>
          <w:sz w:val="20"/>
          <w:szCs w:val="20"/>
          <w:bCs/>
        </w:rPr>
        <w:t xml:space="preserve">РФ, 115280, г. Москва, ул. Ленинская Слобода, д.19, эт. 6/3К, комн. 3Л </w:t>
      </w:r>
      <w:r>
        <w:rPr>
          <w:sz w:val="20"/>
          <w:szCs w:val="20"/>
          <w:bCs/>
        </w:rPr>
        <w:fldChar w:fldCharType="end"/>
      </w:r>
      <w:r>
        <w:rPr>
          <w:bCs/>
          <w:sz w:val="20"/>
          <w:szCs w:val="20"/>
        </w:rPr>
        <w:br/>
        <w:t xml:space="preserve">Тел. </w:t>
      </w:r>
      <w:r>
        <w:rPr>
          <w:bCs/>
          <w:sz w:val="20"/>
          <w:szCs w:val="20"/>
        </w:rPr>
        <w:fldChar w:fldCharType="begin"/>
      </w:r>
      <w:r>
        <w:rPr>
          <w:sz w:val="20"/>
          <w:szCs w:val="20"/>
          <w:bCs/>
        </w:rPr>
        <w:instrText> MERGEFIELD Телефон_с_кодом_и_факс_с_кодом </w:instrText>
      </w:r>
      <w:r>
        <w:rPr>
          <w:sz w:val="20"/>
          <w:szCs w:val="20"/>
          <w:bCs/>
        </w:rPr>
        <w:fldChar w:fldCharType="separate"/>
      </w:r>
      <w:r>
        <w:rPr>
          <w:sz w:val="20"/>
          <w:szCs w:val="20"/>
          <w:bCs/>
        </w:rPr>
        <w:t>(495) 795-16-</w:t>
      </w:r>
      <w:r>
        <w:rPr>
          <w:sz w:val="20"/>
          <w:szCs w:val="20"/>
          <w:bCs/>
        </w:rPr>
        <w:fldChar w:fldCharType="end"/>
      </w:r>
      <w:r>
        <w:rPr>
          <w:bCs/>
          <w:sz w:val="20"/>
          <w:szCs w:val="20"/>
        </w:rPr>
        <w:t xml:space="preserve">50, </w:t>
      </w:r>
      <w:r>
        <w:rPr>
          <w:bCs/>
          <w:sz w:val="20"/>
          <w:szCs w:val="20"/>
          <w:lang w:val="en-US"/>
        </w:rPr>
        <w:t>e</w:t>
      </w:r>
      <w:r>
        <w:rPr>
          <w:bCs/>
          <w:sz w:val="20"/>
          <w:szCs w:val="20"/>
        </w:rPr>
        <w:t>-</w:t>
      </w:r>
      <w:r>
        <w:rPr>
          <w:bCs/>
          <w:sz w:val="20"/>
          <w:szCs w:val="20"/>
          <w:lang w:val="en-US"/>
        </w:rPr>
        <w:t>mail</w:t>
      </w:r>
      <w:r>
        <w:rPr>
          <w:bCs/>
          <w:sz w:val="20"/>
          <w:szCs w:val="20"/>
        </w:rPr>
        <w:t xml:space="preserve">: </w:t>
      </w:r>
      <w:r>
        <w:rPr>
          <w:bCs/>
          <w:sz w:val="20"/>
          <w:szCs w:val="20"/>
          <w:lang w:val="en-US"/>
        </w:rPr>
        <w:t>euro</w:t>
      </w:r>
      <w:r>
        <w:rPr>
          <w:bCs/>
          <w:sz w:val="20"/>
          <w:szCs w:val="20"/>
        </w:rPr>
        <w:t>.</w:t>
      </w:r>
      <w:r>
        <w:rPr>
          <w:bCs/>
          <w:sz w:val="20"/>
          <w:szCs w:val="20"/>
          <w:lang w:val="en-US"/>
        </w:rPr>
        <w:t>otsenka</w:t>
      </w:r>
      <w:r>
        <w:rPr>
          <w:bCs/>
          <w:sz w:val="20"/>
          <w:szCs w:val="20"/>
        </w:rPr>
        <w:t>@</w:t>
      </w:r>
      <w:r>
        <w:rPr>
          <w:bCs/>
          <w:sz w:val="20"/>
          <w:szCs w:val="20"/>
          <w:lang w:val="en-US"/>
        </w:rPr>
        <w:t>gmail</w:t>
      </w:r>
      <w:r>
        <w:rPr>
          <w:bCs/>
          <w:sz w:val="20"/>
          <w:szCs w:val="20"/>
        </w:rPr>
        <w:t>.</w:t>
      </w:r>
      <w:r>
        <w:rPr>
          <w:bCs/>
          <w:sz w:val="20"/>
          <w:szCs w:val="20"/>
          <w:lang w:val="en-US"/>
        </w:rPr>
        <w:t>com</w:t>
      </w:r>
    </w:p>
    <w:p>
      <w:pPr>
        <w:pStyle w:val="Normal"/>
        <w:pBdr/>
        <w:ind w:left="-851" w:hanging="283"/>
        <w:rPr/>
        <w:framePr w:w="23" w:h="2517" w:x="5163" w:y="235" w:wrap="auto" w:vAnchor="page" w:hAnchor="margin" w:hRule="exact"/>
      </w:pPr>
      <w:bookmarkStart w:id="0" w:name="_Hlk27803941"/>
      <w:r>
        <w:rPr/>
        <w:t xml:space="preserve">                    </w:t>
      </w:r>
      <w:bookmarkEnd w:id="0"/>
      <w:r>
        <w:rPr/>
        <w:drawing>
          <wp:inline distT="0" distB="0" distL="0" distR="5080">
            <wp:extent cx="6109970" cy="1276350"/>
            <wp:effectExtent l="0" t="0" r="0" b="0"/>
            <wp:docPr id="1" name="Рисунок 20" descr="Ito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0" descr="Itog111"/>
                    <pic:cNvPicPr>
                      <a:picLocks noChangeAspect="1" noChangeArrowheads="1"/>
                    </pic:cNvPicPr>
                  </pic:nvPicPr>
                  <pic:blipFill>
                    <a:blip r:embed="rId2"/>
                    <a:stretch>
                      <a:fillRect/>
                    </a:stretch>
                  </pic:blipFill>
                  <pic:spPr bwMode="auto">
                    <a:xfrm>
                      <a:off x="0" y="0"/>
                      <a:ext cx="6109970" cy="1276350"/>
                    </a:xfrm>
                    <a:prstGeom prst="rect">
                      <a:avLst/>
                    </a:prstGeom>
                  </pic:spPr>
                </pic:pic>
              </a:graphicData>
            </a:graphic>
          </wp:inline>
        </w:drawing>
      </w:r>
    </w:p>
    <w:p>
      <w:pPr>
        <w:pStyle w:val="Normal"/>
        <w:pBdr/>
        <w:jc w:val="center"/>
        <w:rPr>
          <w:bCs/>
          <w:sz w:val="20"/>
          <w:szCs w:val="20"/>
        </w:rPr>
        <w:framePr w:w="23" w:h="2517" w:x="5163" w:y="235" w:wrap="auto" w:vAnchor="page" w:hAnchor="margin" w:hRule="exact"/>
      </w:pPr>
      <w:r>
        <w:rPr>
          <w:bCs/>
          <w:sz w:val="20"/>
          <w:szCs w:val="20"/>
        </w:rPr>
      </w:r>
    </w:p>
    <w:p>
      <w:pPr>
        <w:pStyle w:val="Normal"/>
        <w:jc w:val="right"/>
        <w:rPr>
          <w:bCs/>
        </w:rPr>
      </w:pPr>
      <w:r>
        <w:rPr>
          <w:bCs/>
        </w:rPr>
      </w:r>
    </w:p>
    <w:p>
      <w:pPr>
        <w:pStyle w:val="Normal"/>
        <w:rPr>
          <w:bCs/>
        </w:rPr>
      </w:pPr>
      <w:r>
        <w:rPr>
          <w:bCs/>
        </w:rPr>
      </w:r>
    </w:p>
    <w:p>
      <w:pPr>
        <w:pStyle w:val="Normal"/>
        <w:jc w:val="right"/>
        <w:rPr/>
      </w:pPr>
      <w:r>
        <w:rPr/>
        <w:t>Утверждаю</w:t>
      </w:r>
    </w:p>
    <w:p>
      <w:pPr>
        <w:pStyle w:val="Normal"/>
        <w:jc w:val="right"/>
        <w:rPr/>
      </w:pPr>
      <w:r>
        <w:rPr/>
      </w:r>
    </w:p>
    <w:p>
      <w:pPr>
        <w:pStyle w:val="Normal"/>
        <w:jc w:val="right"/>
        <w:rPr/>
      </w:pPr>
      <w:r>
        <w:rPr>
          <w:bCs/>
        </w:rPr>
        <w:t xml:space="preserve">Генеральный </w:t>
      </w:r>
      <w:r>
        <w:rPr>
          <w:bCs/>
          <w:lang w:val="en-US"/>
        </w:rPr>
        <w:fldChar w:fldCharType="begin"/>
      </w:r>
      <w:r>
        <w:rPr>
          <w:bCs/>
        </w:rPr>
        <w:instrText> MERGEFIELD Должность_лица_утверждающего_отчет </w:instrText>
      </w:r>
      <w:r>
        <w:rPr>
          <w:bCs/>
        </w:rPr>
        <w:fldChar w:fldCharType="separate"/>
      </w:r>
      <w:r>
        <w:rPr>
          <w:bCs/>
        </w:rPr>
        <w:t>Директор</w:t>
      </w:r>
      <w:r>
        <w:rPr>
          <w:bCs/>
        </w:rPr>
        <w:fldChar w:fldCharType="end"/>
      </w:r>
      <w:r>
        <w:rPr>
          <w:bCs/>
        </w:rPr>
        <w:br/>
        <w:t xml:space="preserve"> </w:t>
      </w:r>
    </w:p>
    <w:p>
      <w:pPr>
        <w:pStyle w:val="Normal"/>
        <w:jc w:val="right"/>
        <w:rPr>
          <w:bCs/>
        </w:rPr>
      </w:pPr>
      <w:r>
        <w:rPr>
          <w:bCs/>
        </w:rPr>
        <w:t xml:space="preserve">_____________________________ </w:t>
      </w:r>
    </w:p>
    <w:p>
      <w:pPr>
        <w:pStyle w:val="Normal"/>
        <w:jc w:val="right"/>
        <w:rPr/>
      </w:pPr>
      <w:r>
        <w:rPr>
          <w:bCs/>
        </w:rPr>
        <w:t>м.п.</w:t>
        <w:tab/>
        <w:t>Попов Иван Владимирович</w:t>
      </w:r>
      <w:r>
        <w:rPr>
          <w:bCs/>
          <w:lang w:val="en-US"/>
        </w:rPr>
        <w:fldChar w:fldCharType="begin"/>
      </w:r>
      <w:r>
        <w:rPr>
          <w:bCs/>
        </w:rPr>
        <w:instrText> MERGEFIELD Фамилия_И_О_лица_утверждающего_отчет </w:instrText>
      </w:r>
      <w:r>
        <w:rPr>
          <w:bCs/>
        </w:rPr>
        <w:fldChar w:fldCharType="separate"/>
      </w:r>
      <w:r>
        <w:rPr>
          <w:bCs/>
        </w:rPr>
      </w:r>
      <w:r>
        <w:rPr>
          <w:bCs/>
        </w:rPr>
        <w:fldChar w:fldCharType="end"/>
      </w:r>
    </w:p>
    <w:p>
      <w:pPr>
        <w:pStyle w:val="Normal"/>
        <w:jc w:val="right"/>
        <w:rPr/>
      </w:pPr>
      <w:r>
        <w:rPr/>
        <w:t>«__» _______________2023 г.</w:t>
      </w:r>
    </w:p>
    <w:p>
      <w:pPr>
        <w:pStyle w:val="Normal"/>
        <w:rPr>
          <w:bCs/>
        </w:rPr>
      </w:pPr>
      <w:r>
        <w:rPr>
          <w:bCs/>
        </w:rPr>
      </w:r>
    </w:p>
    <w:p>
      <w:pPr>
        <w:pStyle w:val="Normal"/>
        <w:rPr>
          <w:bCs/>
        </w:rPr>
      </w:pPr>
      <w:r>
        <w:rPr>
          <w:bCs/>
        </w:rPr>
      </w:r>
    </w:p>
    <w:p>
      <w:pPr>
        <w:pStyle w:val="Normal"/>
        <w:tabs>
          <w:tab w:val="clear" w:pos="708"/>
          <w:tab w:val="left" w:pos="10348" w:leader="none"/>
        </w:tabs>
        <w:jc w:val="center"/>
        <w:rPr>
          <w:b/>
          <w:b/>
          <w:sz w:val="36"/>
          <w:szCs w:val="36"/>
        </w:rPr>
      </w:pPr>
      <w:r>
        <w:rPr>
          <w:b/>
          <w:sz w:val="36"/>
          <w:szCs w:val="36"/>
        </w:rPr>
      </w:r>
    </w:p>
    <w:p>
      <w:pPr>
        <w:pStyle w:val="Normal"/>
        <w:tabs>
          <w:tab w:val="clear" w:pos="708"/>
          <w:tab w:val="left" w:pos="10348" w:leader="none"/>
        </w:tabs>
        <w:jc w:val="center"/>
        <w:rPr>
          <w:b/>
          <w:b/>
          <w:sz w:val="36"/>
          <w:szCs w:val="36"/>
        </w:rPr>
      </w:pPr>
      <w:r>
        <w:rPr>
          <w:b/>
          <w:sz w:val="36"/>
          <w:szCs w:val="36"/>
        </w:rPr>
      </w:r>
    </w:p>
    <w:p>
      <w:pPr>
        <w:pStyle w:val="Normal"/>
        <w:tabs>
          <w:tab w:val="clear" w:pos="708"/>
          <w:tab w:val="left" w:pos="10348" w:leader="none"/>
        </w:tabs>
        <w:jc w:val="center"/>
        <w:rPr>
          <w:b/>
          <w:b/>
          <w:sz w:val="36"/>
          <w:szCs w:val="36"/>
        </w:rPr>
      </w:pPr>
      <w:r>
        <w:rPr>
          <w:b/>
          <w:sz w:val="36"/>
          <w:szCs w:val="36"/>
        </w:rPr>
      </w:r>
    </w:p>
    <w:p>
      <w:pPr>
        <w:pStyle w:val="Normal"/>
        <w:tabs>
          <w:tab w:val="clear" w:pos="708"/>
          <w:tab w:val="left" w:pos="9923" w:leader="none"/>
        </w:tabs>
        <w:jc w:val="center"/>
        <w:rPr>
          <w:b/>
          <w:b/>
          <w:sz w:val="36"/>
          <w:szCs w:val="36"/>
        </w:rPr>
      </w:pPr>
      <w:bookmarkStart w:id="1" w:name="__DdeLink__3521_2486362135"/>
      <w:r>
        <w:rPr>
          <w:b/>
          <w:sz w:val="36"/>
          <w:szCs w:val="36"/>
        </w:rPr>
        <w:t>ЗАКЛЮЧЕНИЕ СПЕЦИАЛИСТА №5859-0323</w:t>
      </w:r>
      <w:bookmarkEnd w:id="1"/>
    </w:p>
    <w:p>
      <w:pPr>
        <w:pStyle w:val="Normal"/>
        <w:tabs>
          <w:tab w:val="clear" w:pos="708"/>
          <w:tab w:val="left" w:pos="9923" w:leader="none"/>
        </w:tabs>
        <w:rPr>
          <w:bCs/>
        </w:rPr>
      </w:pPr>
      <w:r>
        <w:rPr>
          <w:bCs/>
        </w:rPr>
      </w:r>
    </w:p>
    <w:p>
      <w:pPr>
        <w:pStyle w:val="Normal"/>
        <w:rPr>
          <w:bCs/>
        </w:rPr>
      </w:pPr>
      <w:r>
        <w:rPr>
          <w:bCs/>
        </w:rPr>
      </w:r>
    </w:p>
    <w:p>
      <w:pPr>
        <w:pStyle w:val="Normal"/>
        <w:rPr>
          <w:bCs/>
        </w:rPr>
      </w:pPr>
      <w:r>
        <w:rPr>
          <w:bCs/>
        </w:rPr>
      </w:r>
    </w:p>
    <w:p>
      <w:pPr>
        <w:pStyle w:val="Normal"/>
        <w:ind w:left="1260" w:right="1260" w:hanging="0"/>
        <w:jc w:val="center"/>
        <w:rPr>
          <w:b/>
          <w:b/>
          <w:bCs/>
          <w:i/>
          <w:i/>
          <w:iCs/>
          <w:sz w:val="28"/>
        </w:rPr>
      </w:pPr>
      <w:r>
        <w:rPr>
          <w:b/>
          <w:bCs/>
          <w:i/>
          <w:iCs/>
          <w:sz w:val="28"/>
        </w:rPr>
      </w:r>
    </w:p>
    <w:p>
      <w:pPr>
        <w:pStyle w:val="Normal"/>
        <w:ind w:left="1260" w:right="1260" w:hanging="0"/>
        <w:jc w:val="center"/>
        <w:rPr>
          <w:b/>
          <w:b/>
          <w:bCs/>
          <w:i/>
          <w:i/>
          <w:iCs/>
          <w:sz w:val="28"/>
        </w:rPr>
      </w:pPr>
      <w:r>
        <w:rPr>
          <w:b/>
          <w:bCs/>
          <w:i/>
          <w:iCs/>
          <w:sz w:val="28"/>
        </w:rPr>
      </w:r>
    </w:p>
    <w:p>
      <w:pPr>
        <w:pStyle w:val="Normal"/>
        <w:ind w:left="1260" w:right="1260" w:hanging="0"/>
        <w:jc w:val="center"/>
        <w:rPr>
          <w:b/>
          <w:b/>
          <w:bCs/>
          <w:i/>
          <w:i/>
          <w:iCs/>
          <w:sz w:val="28"/>
        </w:rPr>
      </w:pPr>
      <w:r>
        <w:rPr>
          <w:b/>
          <w:bCs/>
          <w:i/>
          <w:iCs/>
          <w:sz w:val="28"/>
        </w:rPr>
      </w:r>
    </w:p>
    <w:p>
      <w:pPr>
        <w:pStyle w:val="Normal"/>
        <w:ind w:left="1260" w:right="1260" w:hanging="0"/>
        <w:jc w:val="center"/>
        <w:rPr>
          <w:b/>
          <w:b/>
          <w:bCs/>
          <w:i/>
          <w:i/>
          <w:iCs/>
          <w:sz w:val="28"/>
        </w:rPr>
      </w:pPr>
      <w:r>
        <w:rPr>
          <w:b/>
          <w:bCs/>
          <w:i/>
          <w:iCs/>
          <w:sz w:val="28"/>
        </w:rPr>
      </w:r>
    </w:p>
    <w:p>
      <w:pPr>
        <w:pStyle w:val="Normal"/>
        <w:ind w:left="1260" w:right="1260" w:hanging="0"/>
        <w:jc w:val="center"/>
        <w:rPr>
          <w:b/>
          <w:b/>
          <w:bCs/>
          <w:i/>
          <w:i/>
          <w:iCs/>
          <w:sz w:val="28"/>
        </w:rPr>
      </w:pPr>
      <w:r>
        <w:rPr>
          <w:b/>
          <w:bCs/>
          <w:i/>
          <w:iCs/>
          <w:sz w:val="28"/>
        </w:rPr>
      </w:r>
    </w:p>
    <w:p>
      <w:pPr>
        <w:pStyle w:val="Normal"/>
        <w:tabs>
          <w:tab w:val="clear" w:pos="708"/>
          <w:tab w:val="left" w:pos="4536" w:leader="none"/>
        </w:tabs>
        <w:rPr>
          <w:lang w:val="en-US"/>
        </w:rPr>
      </w:pPr>
      <w:r>
        <w:rPr>
          <w:b/>
        </w:rPr>
        <w:t>Марка</w:t>
      </w:r>
      <w:r>
        <w:rPr>
          <w:b/>
          <w:lang w:val="en-US"/>
        </w:rPr>
        <w:t xml:space="preserve"> </w:t>
      </w:r>
      <w:r>
        <w:rPr>
          <w:b/>
        </w:rPr>
        <w:t>ТС</w:t>
      </w:r>
      <w:r>
        <w:rPr>
          <w:b/>
          <w:lang w:val="en-US"/>
        </w:rPr>
        <w:t>:</w:t>
      </w:r>
      <w:r>
        <w:rPr>
          <w:lang w:val="en-US"/>
        </w:rPr>
        <w:t xml:space="preserve"> MERCEDES-BENZ A200</w:t>
      </w:r>
    </w:p>
    <w:p>
      <w:pPr>
        <w:pStyle w:val="Normal"/>
        <w:tabs>
          <w:tab w:val="clear" w:pos="708"/>
          <w:tab w:val="left" w:pos="4536" w:leader="none"/>
        </w:tabs>
        <w:rPr/>
      </w:pPr>
      <w:r>
        <w:rPr>
          <w:b/>
        </w:rPr>
        <w:t>Рег</w:t>
      </w:r>
      <w:r>
        <w:rPr>
          <w:b/>
          <w:lang w:val="en-US"/>
        </w:rPr>
        <w:t xml:space="preserve">.  </w:t>
      </w:r>
      <w:r>
        <w:rPr>
          <w:b/>
        </w:rPr>
        <w:t>номер:</w:t>
      </w:r>
      <w:r>
        <w:rPr/>
        <w:t xml:space="preserve"> *******</w:t>
      </w:r>
    </w:p>
    <w:p>
      <w:pPr>
        <w:pStyle w:val="Normal"/>
        <w:tabs>
          <w:tab w:val="clear" w:pos="708"/>
          <w:tab w:val="left" w:pos="2552" w:leader="none"/>
          <w:tab w:val="left" w:pos="4536" w:leader="none"/>
          <w:tab w:val="left" w:pos="11766" w:leader="none"/>
        </w:tabs>
        <w:rPr/>
      </w:pPr>
      <w:r>
        <w:rPr>
          <w:b/>
        </w:rPr>
        <w:t>Заказчик:</w:t>
      </w:r>
      <w:r>
        <w:rPr/>
        <w:t xml:space="preserve"> *******</w:t>
      </w:r>
    </w:p>
    <w:p>
      <w:pPr>
        <w:pStyle w:val="Normal"/>
        <w:tabs>
          <w:tab w:val="clear" w:pos="708"/>
          <w:tab w:val="left" w:pos="2552" w:leader="none"/>
          <w:tab w:val="left" w:pos="4536" w:leader="none"/>
          <w:tab w:val="left" w:pos="11766" w:leader="none"/>
        </w:tabs>
        <w:rPr/>
      </w:pPr>
      <w:r>
        <w:rPr>
          <w:b/>
        </w:rPr>
        <w:t>Дата составления заключения:</w:t>
      </w:r>
      <w:r>
        <w:rPr/>
        <w:t xml:space="preserve"> 04 апреля 2023г.</w:t>
      </w:r>
    </w:p>
    <w:p>
      <w:pPr>
        <w:pStyle w:val="Normal"/>
        <w:rPr/>
      </w:pPr>
      <w:r>
        <w:rPr>
          <w:b/>
          <w:iCs/>
        </w:rPr>
        <w:t xml:space="preserve">                                      </w:t>
      </w:r>
    </w:p>
    <w:p>
      <w:pPr>
        <w:pStyle w:val="Normal"/>
        <w:ind w:left="1260" w:right="1260" w:hanging="0"/>
        <w:jc w:val="center"/>
        <w:rPr>
          <w:sz w:val="28"/>
        </w:rPr>
      </w:pPr>
      <w:r>
        <w:rPr>
          <w:sz w:val="28"/>
        </w:rPr>
      </w:r>
    </w:p>
    <w:p>
      <w:pPr>
        <w:pStyle w:val="Normal"/>
        <w:ind w:left="1260" w:right="1260" w:hanging="0"/>
        <w:jc w:val="center"/>
        <w:rPr>
          <w:sz w:val="28"/>
        </w:rPr>
      </w:pPr>
      <w:r>
        <w:rPr>
          <w:sz w:val="28"/>
        </w:rPr>
      </w:r>
    </w:p>
    <w:p>
      <w:pPr>
        <w:pStyle w:val="Normal"/>
        <w:ind w:left="1260" w:right="1260" w:hanging="0"/>
        <w:jc w:val="center"/>
        <w:rPr>
          <w:sz w:val="28"/>
        </w:rPr>
      </w:pPr>
      <w:r>
        <w:rPr>
          <w:sz w:val="28"/>
        </w:rPr>
      </w:r>
    </w:p>
    <w:p>
      <w:pPr>
        <w:pStyle w:val="Normal"/>
        <w:ind w:left="1260" w:right="1260" w:hanging="0"/>
        <w:jc w:val="center"/>
        <w:rPr>
          <w:sz w:val="28"/>
        </w:rPr>
      </w:pPr>
      <w:r>
        <w:rPr>
          <w:sz w:val="28"/>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tabs>
          <w:tab w:val="clear" w:pos="708"/>
          <w:tab w:val="left" w:pos="1260" w:leader="none"/>
          <w:tab w:val="left" w:pos="1980" w:leader="none"/>
          <w:tab w:val="right" w:pos="8931" w:leader="none"/>
          <w:tab w:val="left" w:pos="9214" w:leader="none"/>
        </w:tabs>
        <w:ind w:left="900" w:right="1260" w:hanging="0"/>
        <w:rPr>
          <w:b/>
          <w:b/>
          <w:bCs/>
          <w:u w:val="single"/>
        </w:rPr>
      </w:pPr>
      <w:r>
        <w:rPr>
          <w:b/>
          <w:bCs/>
          <w:u w:val="single"/>
        </w:rPr>
      </w:r>
    </w:p>
    <w:p>
      <w:pPr>
        <w:pStyle w:val="Normal"/>
        <w:jc w:val="center"/>
        <w:rPr>
          <w:b/>
          <w:b/>
          <w:iCs/>
          <w:szCs w:val="22"/>
        </w:rPr>
      </w:pPr>
      <w:r>
        <w:rPr>
          <w:b/>
          <w:iCs/>
          <w:szCs w:val="22"/>
        </w:rPr>
        <w:t>Москва, 2023г.</w:t>
      </w:r>
    </w:p>
    <w:p>
      <w:pPr>
        <w:pStyle w:val="Normal"/>
        <w:jc w:val="center"/>
        <w:rPr>
          <w:rFonts w:cs="Arial CYR"/>
          <w:b/>
          <w:b/>
          <w:bCs/>
        </w:rPr>
      </w:pPr>
      <w:r>
        <w:rPr>
          <w:rFonts w:cs="Arial CYR"/>
          <w:b/>
          <w:bCs/>
        </w:rPr>
        <w:t>ВВОДНАЯ ЧАСТЬ</w:t>
      </w:r>
    </w:p>
    <w:p>
      <w:pPr>
        <w:pStyle w:val="Normal"/>
        <w:jc w:val="center"/>
        <w:rPr>
          <w:rFonts w:cs="Arial CYR"/>
          <w:b/>
          <w:b/>
          <w:bCs/>
        </w:rPr>
      </w:pPr>
      <w:r>
        <w:rPr>
          <w:rFonts w:cs="Arial CYR"/>
          <w:b/>
          <w:bCs/>
        </w:rPr>
      </w:r>
    </w:p>
    <w:p>
      <w:pPr>
        <w:pStyle w:val="Normal"/>
        <w:ind w:firstLine="708"/>
        <w:jc w:val="both"/>
        <w:rPr/>
      </w:pPr>
      <w:r>
        <w:rPr/>
        <w:t>Настоящее техническое исследование проведено на основании договора №5859-0323 от 21 марта 2023 г., которое заключили между собой ООО «Европейский Центр Оценки» и *******.</w:t>
      </w:r>
    </w:p>
    <w:p>
      <w:pPr>
        <w:pStyle w:val="Normal"/>
        <w:rPr>
          <w:b/>
          <w:b/>
          <w:iCs/>
          <w:sz w:val="22"/>
          <w:szCs w:val="22"/>
        </w:rPr>
      </w:pPr>
      <w:r>
        <w:rPr>
          <w:b/>
          <w:iCs/>
          <w:sz w:val="22"/>
          <w:szCs w:val="22"/>
        </w:rPr>
      </w:r>
    </w:p>
    <w:p>
      <w:pPr>
        <w:pStyle w:val="Normal"/>
        <w:jc w:val="center"/>
        <w:rPr>
          <w:rFonts w:ascii="Calibri" w:hAnsi="Calibri" w:cs="Arial CYR"/>
          <w:b/>
          <w:b/>
          <w:bCs/>
          <w:u w:val="single"/>
        </w:rPr>
      </w:pPr>
      <w:r>
        <w:rPr>
          <w:rFonts w:cs="Arial CYR"/>
          <w:b/>
          <w:bCs/>
          <w:u w:val="single"/>
        </w:rPr>
        <w:t>Экспертная организация:</w:t>
      </w:r>
    </w:p>
    <w:p>
      <w:pPr>
        <w:pStyle w:val="Normal"/>
        <w:ind w:right="142" w:hanging="0"/>
        <w:jc w:val="right"/>
        <w:rPr>
          <w:bCs/>
        </w:rPr>
      </w:pPr>
      <w:r>
        <w:rPr>
          <w:bCs/>
        </w:rPr>
        <w:t>Таблица №1</w:t>
      </w:r>
    </w:p>
    <w:tbl>
      <w:tblPr>
        <w:tblW w:w="49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noVBand="0" w:noHBand="0" w:lastColumn="1" w:firstColumn="1" w:lastRow="1" w:firstRow="1"/>
      </w:tblPr>
      <w:tblGrid>
        <w:gridCol w:w="2333"/>
        <w:gridCol w:w="7807"/>
      </w:tblGrid>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Style27"/>
              <w:spacing w:lineRule="atLeast" w:line="240" w:before="0" w:after="0"/>
              <w:jc w:val="right"/>
              <w:rPr>
                <w:b/>
                <w:b/>
                <w:sz w:val="24"/>
                <w:szCs w:val="24"/>
              </w:rPr>
            </w:pPr>
            <w:r>
              <w:rPr>
                <w:b/>
                <w:sz w:val="24"/>
                <w:szCs w:val="24"/>
              </w:rPr>
              <w:t>Наименование организации:</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Style27"/>
              <w:spacing w:lineRule="atLeast" w:line="240" w:before="0" w:after="0"/>
              <w:jc w:val="both"/>
              <w:rPr>
                <w:b/>
                <w:b/>
                <w:bCs/>
                <w:sz w:val="24"/>
                <w:szCs w:val="24"/>
              </w:rPr>
            </w:pPr>
            <w:r>
              <w:rPr>
                <w:b/>
                <w:bCs/>
                <w:sz w:val="24"/>
                <w:szCs w:val="24"/>
              </w:rPr>
              <w:t>ООО «Европейский Центр Оценки»</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 xml:space="preserve">ОГРН: </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rPr>
                <w:sz w:val="24"/>
                <w:szCs w:val="24"/>
              </w:rPr>
            </w:pPr>
            <w:r>
              <w:rPr>
                <w:sz w:val="24"/>
                <w:szCs w:val="24"/>
              </w:rPr>
              <w:t>1127747107553</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ИНН/КПП:</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rPr>
                <w:sz w:val="24"/>
                <w:szCs w:val="24"/>
              </w:rPr>
            </w:pPr>
            <w:r>
              <w:rPr>
                <w:sz w:val="24"/>
                <w:szCs w:val="24"/>
              </w:rPr>
              <w:t>7709915321/772501001</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Юридический адрес:</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rPr>
                <w:sz w:val="24"/>
                <w:szCs w:val="24"/>
              </w:rPr>
            </w:pPr>
            <w:r>
              <w:rPr>
                <w:sz w:val="24"/>
                <w:szCs w:val="24"/>
              </w:rPr>
              <w:t>115280, г. Москва, ул. Ленинская Слобода, д.19, эт. 6/3К, комн. 3Л</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Фактический адрес:</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rPr>
                <w:sz w:val="24"/>
                <w:szCs w:val="24"/>
              </w:rPr>
            </w:pPr>
            <w:r>
              <w:rPr>
                <w:sz w:val="24"/>
                <w:szCs w:val="24"/>
              </w:rPr>
              <w:t>г. Москва, ул. Угрешская д.2 (Бизнес квартал «IQ-Park»), стр.53, эт.2, офис 221</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lang w:val="en-US"/>
              </w:rPr>
              <w:t>E</w:t>
            </w:r>
            <w:r>
              <w:rPr>
                <w:sz w:val="24"/>
                <w:szCs w:val="24"/>
              </w:rPr>
              <w:t>-</w:t>
            </w:r>
            <w:r>
              <w:rPr>
                <w:sz w:val="24"/>
                <w:szCs w:val="24"/>
                <w:lang w:val="en-US"/>
              </w:rPr>
              <w:t>mail</w:t>
            </w:r>
            <w:r>
              <w:rPr>
                <w:sz w:val="24"/>
                <w:szCs w:val="24"/>
              </w:rPr>
              <w:t>:</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tLeast" w:line="240"/>
              <w:rPr/>
            </w:pPr>
            <w:r>
              <w:rPr>
                <w:lang w:val="en-US"/>
              </w:rPr>
              <w:t>euro</w:t>
            </w:r>
            <w:r>
              <w:rPr/>
              <w:t>.</w:t>
            </w:r>
            <w:r>
              <w:rPr>
                <w:lang w:val="en-US"/>
              </w:rPr>
              <w:t>otsenka</w:t>
            </w:r>
            <w:r>
              <w:rPr/>
              <w:t>@</w:t>
            </w:r>
            <w:r>
              <w:rPr>
                <w:lang w:val="en-US"/>
              </w:rPr>
              <w:t>gmail</w:t>
            </w:r>
            <w:r>
              <w:rPr/>
              <w:t>.</w:t>
            </w:r>
            <w:r>
              <w:rPr>
                <w:lang w:val="en-US"/>
              </w:rPr>
              <w:t>com</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Телефон:</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tLeast" w:line="240"/>
              <w:rPr/>
            </w:pPr>
            <w:r>
              <w:rPr/>
              <w:t>+7 (495) 795 16 50</w:t>
            </w:r>
          </w:p>
        </w:tc>
      </w:tr>
      <w:tr>
        <w:trPr/>
        <w:tc>
          <w:tcPr>
            <w:tcW w:w="2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27"/>
              <w:spacing w:lineRule="atLeast" w:line="240" w:before="0" w:after="0"/>
              <w:jc w:val="right"/>
              <w:rPr>
                <w:sz w:val="24"/>
                <w:szCs w:val="24"/>
              </w:rPr>
            </w:pPr>
            <w:r>
              <w:rPr>
                <w:sz w:val="24"/>
                <w:szCs w:val="24"/>
              </w:rPr>
              <w:t>Расчетный счет:</w:t>
            </w:r>
          </w:p>
        </w:tc>
        <w:tc>
          <w:tcPr>
            <w:tcW w:w="7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tLeast" w:line="240"/>
              <w:rPr>
                <w:bCs/>
              </w:rPr>
            </w:pPr>
            <w:r>
              <w:rPr/>
              <w:t>40702810338120007911</w:t>
            </w:r>
          </w:p>
        </w:tc>
      </w:tr>
    </w:tbl>
    <w:p>
      <w:pPr>
        <w:pStyle w:val="Normal"/>
        <w:rPr>
          <w:rFonts w:cs="Arial CYR"/>
          <w:b/>
          <w:b/>
          <w:bCs/>
        </w:rPr>
      </w:pPr>
      <w:r>
        <w:rPr>
          <w:rFonts w:cs="Arial CYR"/>
          <w:b/>
          <w:bCs/>
        </w:rPr>
      </w:r>
    </w:p>
    <w:p>
      <w:pPr>
        <w:pStyle w:val="Normal"/>
        <w:jc w:val="center"/>
        <w:rPr>
          <w:b/>
          <w:b/>
          <w:bCs/>
          <w:u w:val="single"/>
        </w:rPr>
      </w:pPr>
      <w:r>
        <w:rPr>
          <w:rFonts w:cs="Arial CYR"/>
          <w:b/>
          <w:bCs/>
          <w:u w:val="single"/>
        </w:rPr>
        <w:t xml:space="preserve">Сведения </w:t>
      </w:r>
      <w:r>
        <w:rPr>
          <w:b/>
          <w:bCs/>
          <w:u w:val="single"/>
        </w:rPr>
        <w:t>о специалисте:</w:t>
      </w:r>
    </w:p>
    <w:p>
      <w:pPr>
        <w:pStyle w:val="Normal"/>
        <w:ind w:right="142" w:hanging="0"/>
        <w:jc w:val="right"/>
        <w:rPr>
          <w:bCs/>
        </w:rPr>
      </w:pPr>
      <w:r>
        <w:rPr>
          <w:bCs/>
        </w:rPr>
        <w:t>Таблица №2</w:t>
      </w:r>
    </w:p>
    <w:tbl>
      <w:tblPr>
        <w:tblW w:w="1020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noVBand="1" w:noHBand="0" w:lastColumn="0" w:firstColumn="1" w:lastRow="0" w:firstRow="1"/>
      </w:tblPr>
      <w:tblGrid>
        <w:gridCol w:w="3651"/>
        <w:gridCol w:w="6549"/>
      </w:tblGrid>
      <w:tr>
        <w:trPr/>
        <w:tc>
          <w:tcPr>
            <w:tcW w:w="36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tcPr>
          <w:p>
            <w:pPr>
              <w:pStyle w:val="Normal"/>
              <w:jc w:val="center"/>
              <w:rPr>
                <w:b/>
                <w:b/>
                <w:sz w:val="22"/>
                <w:szCs w:val="22"/>
                <w:lang w:eastAsia="en-US"/>
              </w:rPr>
            </w:pPr>
            <w:r>
              <w:rPr>
                <w:b/>
                <w:sz w:val="22"/>
                <w:szCs w:val="22"/>
              </w:rPr>
              <w:t>Фамилия, Имя, Отчество</w:t>
            </w:r>
          </w:p>
        </w:tc>
        <w:tc>
          <w:tcPr>
            <w:tcW w:w="6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tcPr>
          <w:p>
            <w:pPr>
              <w:pStyle w:val="Normal"/>
              <w:spacing w:lineRule="atLeast" w:line="240"/>
              <w:jc w:val="center"/>
              <w:rPr>
                <w:b/>
                <w:b/>
                <w:bCs/>
              </w:rPr>
            </w:pPr>
            <w:r>
              <w:rPr>
                <w:b/>
                <w:bCs/>
              </w:rPr>
              <w:t>Григорьев Максим Алексеевич</w:t>
            </w:r>
          </w:p>
          <w:p>
            <w:pPr>
              <w:pStyle w:val="Normal"/>
              <w:jc w:val="center"/>
              <w:rPr>
                <w:b/>
                <w:b/>
                <w:sz w:val="22"/>
                <w:szCs w:val="22"/>
                <w:lang w:eastAsia="en-US"/>
              </w:rPr>
            </w:pPr>
            <w:r>
              <w:rPr>
                <w:b/>
                <w:sz w:val="22"/>
                <w:szCs w:val="22"/>
                <w:lang w:eastAsia="en-US"/>
              </w:rPr>
            </w:r>
          </w:p>
        </w:tc>
      </w:tr>
      <w:tr>
        <w:trPr>
          <w:trHeight w:val="330" w:hRule="atLeast"/>
        </w:trPr>
        <w:tc>
          <w:tcPr>
            <w:tcW w:w="36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p>
            <w:pPr>
              <w:pStyle w:val="Normal"/>
              <w:rPr/>
            </w:pPr>
            <w:r>
              <w:rPr/>
            </w:r>
          </w:p>
          <w:p>
            <w:pPr>
              <w:pStyle w:val="Normal"/>
              <w:rPr/>
            </w:pPr>
            <w:r>
              <w:rPr/>
              <w:t>Номер документа, подтверждающего получение профессиональных знаний</w:t>
            </w:r>
          </w:p>
        </w:tc>
        <w:tc>
          <w:tcPr>
            <w:tcW w:w="6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jc w:val="both"/>
              <w:rPr>
                <w:lang w:eastAsia="en-US"/>
              </w:rPr>
            </w:pPr>
            <w:r>
              <w:rPr>
                <w:lang w:eastAsia="en-US"/>
              </w:rPr>
              <w:t>Диплом о профессиональной переподготовке «Московский государственный машиностроительный университет (МАМИ)» по программе «Профессиональная переподготовка экспертов-техников» №2796 от 28 августа 2014 года.</w:t>
            </w:r>
          </w:p>
          <w:p>
            <w:pPr>
              <w:pStyle w:val="Normal"/>
              <w:jc w:val="both"/>
              <w:rPr/>
            </w:pPr>
            <w:r>
              <w:rPr>
                <w:lang w:eastAsia="en-US"/>
              </w:rPr>
              <w:t>Согласно протоколу №3 от 20.05.2016 года, Григорьев Максим Алексеевич, включен в реестр экспертов-техников при Минюсте РФ №5555</w:t>
            </w:r>
          </w:p>
        </w:tc>
      </w:tr>
      <w:tr>
        <w:trPr>
          <w:trHeight w:val="330" w:hRule="atLeast"/>
        </w:trPr>
        <w:tc>
          <w:tcPr>
            <w:tcW w:w="36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p>
            <w:pPr>
              <w:pStyle w:val="Normal"/>
              <w:rPr/>
            </w:pPr>
            <w:r>
              <w:rPr/>
              <w:t>Стаж работы</w:t>
            </w:r>
          </w:p>
          <w:p>
            <w:pPr>
              <w:pStyle w:val="Normal"/>
              <w:rPr/>
            </w:pPr>
            <w:r>
              <w:rPr/>
            </w:r>
          </w:p>
        </w:tc>
        <w:tc>
          <w:tcPr>
            <w:tcW w:w="6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p>
            <w:pPr>
              <w:pStyle w:val="Normal"/>
              <w:rPr/>
            </w:pPr>
            <w:r>
              <w:rPr/>
              <w:t>С 2014 года</w:t>
            </w:r>
          </w:p>
        </w:tc>
      </w:tr>
    </w:tbl>
    <w:p>
      <w:pPr>
        <w:pStyle w:val="Normal"/>
        <w:rPr/>
      </w:pPr>
      <w:r>
        <w:rPr/>
      </w:r>
    </w:p>
    <w:p>
      <w:pPr>
        <w:pStyle w:val="Normal"/>
        <w:spacing w:before="102" w:after="102"/>
        <w:rPr>
          <w:b/>
          <w:b/>
          <w:bCs/>
        </w:rPr>
      </w:pPr>
      <w:r>
        <w:rPr>
          <w:b/>
          <w:bCs/>
        </w:rPr>
        <w:t xml:space="preserve">Сведения о Заказчике: </w:t>
      </w:r>
    </w:p>
    <w:p>
      <w:pPr>
        <w:pStyle w:val="Normal"/>
        <w:jc w:val="right"/>
        <w:rPr>
          <w:iCs/>
        </w:rPr>
      </w:pPr>
      <w:r>
        <w:rPr>
          <w:iCs/>
        </w:rPr>
        <w:t>Таблица №3</w:t>
      </w:r>
    </w:p>
    <w:tbl>
      <w:tblPr>
        <w:tblW w:w="1017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fill="FFF2CC" w:val="clear"/>
        <w:tblCellMar>
          <w:top w:w="0" w:type="dxa"/>
          <w:left w:w="108" w:type="dxa"/>
          <w:bottom w:w="0" w:type="dxa"/>
          <w:right w:w="108" w:type="dxa"/>
        </w:tblCellMar>
        <w:tblLook w:val="04a0" w:noVBand="1" w:noHBand="0" w:lastColumn="0" w:firstColumn="1" w:lastRow="0" w:firstRow="1"/>
      </w:tblPr>
      <w:tblGrid>
        <w:gridCol w:w="3652"/>
        <w:gridCol w:w="6520"/>
      </w:tblGrid>
      <w:tr>
        <w:trPr>
          <w:trHeight w:val="57" w:hRule="atLeast"/>
        </w:trPr>
        <w:tc>
          <w:tcPr>
            <w:tcW w:w="36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tcPr>
          <w:p>
            <w:pPr>
              <w:pStyle w:val="Normal"/>
              <w:jc w:val="center"/>
              <w:rPr>
                <w:b/>
                <w:b/>
                <w:sz w:val="22"/>
                <w:szCs w:val="22"/>
              </w:rPr>
            </w:pPr>
            <w:r>
              <w:rPr>
                <w:b/>
                <w:sz w:val="22"/>
                <w:szCs w:val="22"/>
              </w:rPr>
              <w:t>Заказчик:</w:t>
            </w:r>
          </w:p>
        </w:tc>
        <w:tc>
          <w:tcPr>
            <w:tcW w:w="6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tcPr>
          <w:p>
            <w:pPr>
              <w:pStyle w:val="Normal"/>
              <w:tabs>
                <w:tab w:val="clear" w:pos="708"/>
                <w:tab w:val="left" w:pos="4536" w:leader="none"/>
              </w:tabs>
              <w:jc w:val="center"/>
              <w:rPr/>
            </w:pPr>
            <w:r>
              <w:rPr>
                <w:b/>
                <w:sz w:val="22"/>
                <w:szCs w:val="22"/>
              </w:rPr>
              <w:t>*******</w:t>
            </w:r>
          </w:p>
        </w:tc>
      </w:tr>
    </w:tbl>
    <w:p>
      <w:pPr>
        <w:pStyle w:val="Style27"/>
        <w:spacing w:before="120" w:after="0"/>
        <w:ind w:firstLine="357"/>
        <w:jc w:val="both"/>
        <w:rPr>
          <w:sz w:val="24"/>
          <w:szCs w:val="24"/>
        </w:rPr>
      </w:pPr>
      <w:r>
        <w:rPr>
          <w:sz w:val="24"/>
          <w:szCs w:val="24"/>
        </w:rPr>
      </w:r>
    </w:p>
    <w:p>
      <w:pPr>
        <w:pStyle w:val="Normal"/>
        <w:rPr>
          <w:rFonts w:cs="Arial CYR"/>
          <w:b/>
          <w:b/>
          <w:bCs/>
        </w:rPr>
      </w:pPr>
      <w:r>
        <w:rPr>
          <w:rFonts w:cs="Arial CYR"/>
          <w:b/>
          <w:bCs/>
        </w:rPr>
      </w:r>
    </w:p>
    <w:p>
      <w:pPr>
        <w:pStyle w:val="Normal"/>
        <w:rPr>
          <w:rFonts w:cs="Arial CYR"/>
          <w:b/>
          <w:b/>
          <w:bCs/>
        </w:rPr>
      </w:pPr>
      <w:r>
        <w:rPr>
          <w:rFonts w:cs="Arial CYR"/>
          <w:b/>
          <w:bCs/>
        </w:rPr>
        <w:t>На разрешение специалисту поставлены следующие вопросы:</w:t>
      </w:r>
    </w:p>
    <w:p>
      <w:pPr>
        <w:pStyle w:val="Normal"/>
        <w:ind w:right="-84" w:hanging="0"/>
        <w:jc w:val="both"/>
        <w:rPr/>
      </w:pPr>
      <w:r>
        <w:rPr/>
      </w:r>
    </w:p>
    <w:p>
      <w:pPr>
        <w:pStyle w:val="Normal"/>
        <w:numPr>
          <w:ilvl w:val="0"/>
          <w:numId w:val="3"/>
        </w:numPr>
        <w:ind w:left="480" w:hanging="480"/>
        <w:jc w:val="both"/>
        <w:rPr/>
      </w:pPr>
      <w:r>
        <w:rPr/>
        <w:t xml:space="preserve">Имеются ли недостатки/дефекты восстановительного ремонта, в результате выполненных работ на СТОА ООО «КСО МОТОРС» по направлению на ремонт 195483/22 ООО «СК «Согласие», на автомобиле </w:t>
      </w:r>
      <w:r>
        <w:rPr>
          <w:lang w:val="en-US"/>
        </w:rPr>
        <w:t>MERCEDES</w:t>
      </w:r>
      <w:r>
        <w:rPr/>
        <w:t>-</w:t>
      </w:r>
      <w:r>
        <w:rPr>
          <w:lang w:val="en-US"/>
        </w:rPr>
        <w:t>BENZ</w:t>
      </w:r>
      <w:r>
        <w:rPr/>
        <w:t xml:space="preserve"> </w:t>
      </w:r>
      <w:r>
        <w:rPr>
          <w:lang w:val="en-US"/>
        </w:rPr>
        <w:t>A</w:t>
      </w:r>
      <w:r>
        <w:rPr/>
        <w:t>200, идентификационный номер (VIN) *******, 2019 года выпуска, регистрационный знак *******</w:t>
      </w:r>
    </w:p>
    <w:p>
      <w:pPr>
        <w:pStyle w:val="Normal"/>
        <w:numPr>
          <w:ilvl w:val="0"/>
          <w:numId w:val="3"/>
        </w:numPr>
        <w:ind w:left="480" w:hanging="480"/>
        <w:jc w:val="both"/>
        <w:rPr/>
      </w:pPr>
      <w:r>
        <w:rPr/>
        <w:t xml:space="preserve">Если да, то какова стоимость причиненного ущерба, в результате не качественного ремонта ТС </w:t>
      </w:r>
      <w:r>
        <w:rPr>
          <w:lang w:val="en-US"/>
        </w:rPr>
        <w:t>MERCEDES</w:t>
      </w:r>
      <w:r>
        <w:rPr/>
        <w:t>-</w:t>
      </w:r>
      <w:r>
        <w:rPr>
          <w:lang w:val="en-US"/>
        </w:rPr>
        <w:t>BENZ</w:t>
      </w:r>
      <w:r>
        <w:rPr/>
        <w:t xml:space="preserve"> </w:t>
      </w:r>
      <w:r>
        <w:rPr>
          <w:lang w:val="en-US"/>
        </w:rPr>
        <w:t>A</w:t>
      </w:r>
      <w:r>
        <w:rPr/>
        <w:t xml:space="preserve">200, идентификационный номер (VIN) *******, 2019 года выпуска, регистрационный знак </w:t>
      </w:r>
      <w:bookmarkStart w:id="2" w:name="_GoBack"/>
      <w:bookmarkEnd w:id="2"/>
      <w:r>
        <w:rPr/>
        <w:t>*******</w:t>
      </w:r>
    </w:p>
    <w:p>
      <w:pPr>
        <w:pStyle w:val="Normal"/>
        <w:ind w:right="-84" w:hanging="0"/>
        <w:jc w:val="both"/>
        <w:rPr/>
      </w:pPr>
      <w:r>
        <w:rPr/>
      </w:r>
    </w:p>
    <w:p>
      <w:pPr>
        <w:pStyle w:val="Normal"/>
        <w:ind w:right="-84" w:hanging="0"/>
        <w:jc w:val="both"/>
        <w:rPr/>
      </w:pPr>
      <w:r>
        <w:rPr/>
      </w:r>
    </w:p>
    <w:p>
      <w:pPr>
        <w:pStyle w:val="Normal"/>
        <w:rPr>
          <w:rFonts w:cs="Arial CYR"/>
          <w:b/>
          <w:b/>
          <w:bCs/>
        </w:rPr>
      </w:pPr>
      <w:r>
        <w:rPr>
          <w:rFonts w:cs="Arial CYR"/>
          <w:b/>
          <w:bCs/>
        </w:rPr>
        <w:t>Перечень предоставленных материалов, имеющих отношение к предмету экспертизы:</w:t>
      </w:r>
    </w:p>
    <w:p>
      <w:pPr>
        <w:pStyle w:val="Normal"/>
        <w:ind w:right="-84" w:hanging="0"/>
        <w:jc w:val="both"/>
        <w:rPr/>
      </w:pPr>
      <w:r>
        <w:rPr/>
      </w:r>
    </w:p>
    <w:p>
      <w:pPr>
        <w:pStyle w:val="ListParagraph"/>
        <w:numPr>
          <w:ilvl w:val="0"/>
          <w:numId w:val="2"/>
        </w:numPr>
        <w:ind w:left="720" w:right="-84" w:hanging="360"/>
        <w:jc w:val="both"/>
        <w:rPr>
          <w:sz w:val="24"/>
          <w:szCs w:val="24"/>
          <w:lang w:val="ru-RU"/>
        </w:rPr>
      </w:pPr>
      <w:r>
        <w:rPr>
          <w:sz w:val="24"/>
          <w:szCs w:val="24"/>
          <w:lang w:val="ru-RU"/>
        </w:rPr>
        <w:t>Свидетельство о регистрации ТС;</w:t>
      </w:r>
    </w:p>
    <w:p>
      <w:pPr>
        <w:pStyle w:val="ListParagraph"/>
        <w:numPr>
          <w:ilvl w:val="0"/>
          <w:numId w:val="2"/>
        </w:numPr>
        <w:ind w:left="720" w:right="-84" w:hanging="360"/>
        <w:jc w:val="both"/>
        <w:rPr>
          <w:sz w:val="24"/>
          <w:szCs w:val="24"/>
          <w:lang w:val="ru-RU"/>
        </w:rPr>
      </w:pPr>
      <w:r>
        <w:rPr>
          <w:sz w:val="24"/>
          <w:szCs w:val="24"/>
          <w:lang w:val="ru-RU"/>
        </w:rPr>
        <w:t>Акт осмотра №195483/22 выданный ООО «СК «Согласие»;</w:t>
      </w:r>
    </w:p>
    <w:p>
      <w:pPr>
        <w:pStyle w:val="ListParagraph"/>
        <w:numPr>
          <w:ilvl w:val="0"/>
          <w:numId w:val="2"/>
        </w:numPr>
        <w:ind w:left="720" w:right="-84" w:hanging="360"/>
        <w:jc w:val="both"/>
        <w:rPr>
          <w:sz w:val="24"/>
          <w:szCs w:val="24"/>
          <w:lang w:val="ru-RU"/>
        </w:rPr>
      </w:pPr>
      <w:r>
        <w:rPr>
          <w:sz w:val="24"/>
          <w:szCs w:val="24"/>
          <w:lang w:val="ru-RU"/>
        </w:rPr>
        <w:t>Акт осмотра № - от 19.01.2023г., выполненный ООО «Межрегиональный Экспертно-Технический Центр «МЭТР»</w:t>
      </w:r>
    </w:p>
    <w:p>
      <w:pPr>
        <w:pStyle w:val="Normal"/>
        <w:ind w:right="-84" w:hanging="0"/>
        <w:jc w:val="both"/>
        <w:rPr/>
      </w:pPr>
      <w:r>
        <w:rPr/>
      </w:r>
    </w:p>
    <w:p>
      <w:pPr>
        <w:pStyle w:val="Normal"/>
        <w:rPr>
          <w:b/>
          <w:b/>
          <w:iCs/>
          <w:szCs w:val="22"/>
        </w:rPr>
      </w:pPr>
      <w:r>
        <w:rPr>
          <w:b/>
          <w:iCs/>
          <w:szCs w:val="22"/>
        </w:rPr>
        <w:t>Объект экспертизы - транспортное средство потерпевшего:</w:t>
      </w:r>
    </w:p>
    <w:p>
      <w:pPr>
        <w:pStyle w:val="Normal"/>
        <w:spacing w:before="102" w:after="102"/>
        <w:jc w:val="right"/>
        <w:rPr>
          <w:bCs/>
        </w:rPr>
      </w:pPr>
      <w:r>
        <w:rPr>
          <w:bCs/>
        </w:rPr>
        <w:t>Таблица №4</w:t>
      </w:r>
    </w:p>
    <w:tbl>
      <w:tblPr>
        <w:tblW w:w="4900" w:type="pct"/>
        <w:jc w:val="left"/>
        <w:tblInd w:w="0" w:type="dxa"/>
        <w:tblBorders>
          <w:top w:val="single" w:sz="8" w:space="0" w:color="000000"/>
          <w:left w:val="single" w:sz="8" w:space="0" w:color="000000"/>
          <w:bottom w:val="single" w:sz="8" w:space="0" w:color="000000"/>
          <w:right w:val="single" w:sz="4" w:space="0" w:color="000000"/>
          <w:insideH w:val="single" w:sz="8"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5612"/>
        <w:gridCol w:w="4528"/>
      </w:tblGrid>
      <w:tr>
        <w:trPr>
          <w:trHeight w:val="20" w:hRule="atLeast"/>
          <w:cantSplit w:val="true"/>
        </w:trPr>
        <w:tc>
          <w:tcPr>
            <w:tcW w:w="5612" w:type="dxa"/>
            <w:tcBorders>
              <w:top w:val="single" w:sz="8" w:space="0" w:color="000000"/>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bCs/>
              </w:rPr>
            </w:pPr>
            <w:r>
              <w:rPr>
                <w:b/>
                <w:bCs/>
              </w:rPr>
              <w:t>Наименование</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bCs/>
              </w:rPr>
            </w:pPr>
            <w:r>
              <w:rPr/>
              <w:t>MERCEDES-BENZ A200</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Категория транспортного средства</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pPr>
            <w:r>
              <w:rPr/>
              <w:t>В</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Регистрационный знак</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tabs>
                <w:tab w:val="clear" w:pos="708"/>
                <w:tab w:val="left" w:pos="4536" w:leader="none"/>
              </w:tabs>
              <w:jc w:val="center"/>
              <w:rPr/>
            </w:pPr>
            <w:r>
              <w:rPr>
                <w:lang w:val="en-US"/>
              </w:rPr>
              <w:t>*******</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Идентификационный номер (VIN)</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tabs>
                <w:tab w:val="clear" w:pos="708"/>
                <w:tab w:val="left" w:pos="4536" w:leader="none"/>
              </w:tabs>
              <w:jc w:val="center"/>
              <w:rPr/>
            </w:pPr>
            <w:r>
              <w:rPr>
                <w:lang w:val="en-US"/>
              </w:rPr>
              <w:t>*******</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Год выпуска  (дата выпуска)</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pPr>
            <w:r>
              <w:rPr/>
              <w:t>2019 (01.05.2019*)</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Шасси (рама)</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pPr>
            <w:r>
              <w:rPr/>
              <w:t xml:space="preserve">Отсутствует </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Кузов №</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tabs>
                <w:tab w:val="clear" w:pos="708"/>
                <w:tab w:val="left" w:pos="4536" w:leader="none"/>
              </w:tabs>
              <w:jc w:val="center"/>
              <w:rPr/>
            </w:pPr>
            <w:r>
              <w:rPr>
                <w:lang w:val="en-US"/>
              </w:rPr>
              <w:t>*******</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Цвет кузова (кабины)</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pPr>
            <w:r>
              <w:rPr/>
              <w:t>Синий (Двухслойный металлик - код краски 667*)</w:t>
            </w:r>
          </w:p>
        </w:tc>
      </w:tr>
      <w:tr>
        <w:trPr>
          <w:trHeight w:val="20" w:hRule="atLeast"/>
          <w:cantSplit w:val="true"/>
        </w:trPr>
        <w:tc>
          <w:tcPr>
            <w:tcW w:w="5612" w:type="dxa"/>
            <w:tcBorders>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rPr>
            </w:pPr>
            <w:r>
              <w:rPr>
                <w:b/>
              </w:rPr>
              <w:t>Пробег, км на момент осмотра</w:t>
            </w:r>
          </w:p>
        </w:tc>
        <w:tc>
          <w:tcPr>
            <w:tcW w:w="45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pPr>
            <w:r>
              <w:rPr/>
              <w:t>23951</w:t>
            </w:r>
            <w:bookmarkStart w:id="3" w:name="_Hlk509839278"/>
            <w:bookmarkEnd w:id="3"/>
          </w:p>
        </w:tc>
      </w:tr>
    </w:tbl>
    <w:p>
      <w:pPr>
        <w:pStyle w:val="Normal"/>
        <w:spacing w:before="120" w:after="0"/>
        <w:ind w:firstLine="709"/>
        <w:jc w:val="both"/>
        <w:rPr/>
      </w:pPr>
      <w:r>
        <w:rPr/>
      </w:r>
    </w:p>
    <w:p>
      <w:pPr>
        <w:pStyle w:val="Normal"/>
        <w:jc w:val="center"/>
        <w:rPr>
          <w:b/>
          <w:b/>
          <w:iCs/>
          <w:szCs w:val="22"/>
        </w:rPr>
      </w:pPr>
      <w:r>
        <w:rPr/>
      </w:r>
    </w:p>
    <w:p>
      <w:pPr>
        <w:pStyle w:val="Normal"/>
        <w:jc w:val="center"/>
        <w:rPr>
          <w:b/>
          <w:b/>
          <w:iCs/>
          <w:szCs w:val="22"/>
        </w:rPr>
      </w:pPr>
      <w:r>
        <w:rPr/>
        <mc:AlternateContent>
          <mc:Choice Requires="wps">
            <w:drawing>
              <wp:inline distT="0" distB="0" distL="0" distR="0">
                <wp:extent cx="5844540" cy="2607310"/>
                <wp:effectExtent l="0" t="0" r="0" b="0"/>
                <wp:docPr id="2"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3"/>
                        <a:stretch/>
                      </pic:blipFill>
                      <pic:spPr>
                        <a:xfrm>
                          <a:off x="0" y="0"/>
                          <a:ext cx="5843880" cy="26067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05.3pt;width:460.1pt;height:205.2pt;mso-position-vertical:top" type="shapetype_75">
                <v:imagedata r:id="rId3" o:detectmouseclick="t"/>
                <w10:wrap type="none"/>
                <v:stroke color="#3465a4" joinstyle="round" endcap="flat"/>
              </v:shape>
            </w:pict>
          </mc:Fallback>
        </mc:AlternateContent>
      </w:r>
    </w:p>
    <w:p>
      <w:pPr>
        <w:pStyle w:val="Normal"/>
        <w:jc w:val="center"/>
        <w:rPr>
          <w:b/>
          <w:b/>
          <w:iCs/>
          <w:szCs w:val="22"/>
        </w:rPr>
      </w:pPr>
      <w:r>
        <w:rPr>
          <w:b/>
          <w:iCs/>
          <w:szCs w:val="22"/>
        </w:rPr>
      </w:r>
    </w:p>
    <w:p>
      <w:pPr>
        <w:pStyle w:val="Normal"/>
        <w:rPr>
          <w:b/>
          <w:b/>
          <w:iCs/>
          <w:szCs w:val="22"/>
        </w:rPr>
      </w:pPr>
      <w:r>
        <w:rPr>
          <w:b/>
          <w:iCs/>
          <w:szCs w:val="22"/>
        </w:rPr>
        <w:t>В ходе исследования использовалось справочно-нормативная литература:</w:t>
      </w:r>
    </w:p>
    <w:p>
      <w:pPr>
        <w:pStyle w:val="Normal"/>
        <w:rPr>
          <w:b/>
          <w:b/>
          <w:iCs/>
          <w:szCs w:val="22"/>
        </w:rPr>
      </w:pPr>
      <w:r>
        <w:rPr>
          <w:b/>
          <w:iCs/>
          <w:szCs w:val="22"/>
        </w:rPr>
      </w:r>
    </w:p>
    <w:p>
      <w:pPr>
        <w:pStyle w:val="Normal"/>
        <w:numPr>
          <w:ilvl w:val="0"/>
          <w:numId w:val="1"/>
        </w:numPr>
        <w:suppressAutoHyphens w:val="true"/>
        <w:ind w:left="284" w:hanging="284"/>
        <w:jc w:val="both"/>
        <w:rPr/>
      </w:pPr>
      <w:r>
        <w:rPr/>
        <w:t>Федеральный закон «О Государственной судебно-экспертной деятельности в РФ» №73-ФЗ от 31.05.2001 г.</w:t>
      </w:r>
    </w:p>
    <w:p>
      <w:pPr>
        <w:pStyle w:val="Normal"/>
        <w:numPr>
          <w:ilvl w:val="0"/>
          <w:numId w:val="1"/>
        </w:numPr>
        <w:suppressAutoHyphens w:val="true"/>
        <w:ind w:left="284" w:hanging="284"/>
        <w:jc w:val="both"/>
        <w:rPr/>
      </w:pPr>
      <w:r>
        <w:rPr/>
        <w:t>Гражданский процессуальный кодекс РФ.</w:t>
      </w:r>
    </w:p>
    <w:p>
      <w:pPr>
        <w:pStyle w:val="Normal"/>
        <w:widowControl w:val="false"/>
        <w:numPr>
          <w:ilvl w:val="0"/>
          <w:numId w:val="1"/>
        </w:numPr>
        <w:tabs>
          <w:tab w:val="clear" w:pos="708"/>
          <w:tab w:val="left" w:pos="284" w:leader="none"/>
          <w:tab w:val="left" w:pos="502" w:leader="none"/>
        </w:tabs>
        <w:suppressAutoHyphens w:val="true"/>
        <w:ind w:left="284" w:hanging="284"/>
        <w:jc w:val="both"/>
        <w:rPr/>
      </w:pPr>
      <w:r>
        <w:rPr/>
        <w:t>Закон Российской Федерации «О защите прав потребителей».</w:t>
      </w:r>
    </w:p>
    <w:p>
      <w:pPr>
        <w:pStyle w:val="Normal"/>
        <w:numPr>
          <w:ilvl w:val="0"/>
          <w:numId w:val="1"/>
        </w:numPr>
        <w:suppressAutoHyphens w:val="true"/>
        <w:ind w:left="284" w:hanging="284"/>
        <w:jc w:val="both"/>
        <w:rPr/>
      </w:pPr>
      <w:r>
        <w:rPr/>
        <w:t>Федеральный закон «Об обязательном страховании гражданской ответственности владельцев транспортных средств» от 25 апреля 2002 № 40-ФЗ (с изменениями и дополнениями);</w:t>
      </w:r>
    </w:p>
    <w:p>
      <w:pPr>
        <w:pStyle w:val="Style40"/>
        <w:numPr>
          <w:ilvl w:val="0"/>
          <w:numId w:val="1"/>
        </w:numPr>
        <w:tabs>
          <w:tab w:val="left" w:pos="284" w:leader="none"/>
          <w:tab w:val="left" w:pos="708" w:leader="none"/>
        </w:tabs>
        <w:ind w:left="284" w:right="284" w:hanging="284"/>
        <w:rPr>
          <w:rFonts w:eastAsia="Times New Roman"/>
          <w:bCs w:val="false"/>
          <w:szCs w:val="24"/>
        </w:rPr>
      </w:pPr>
      <w:r>
        <w:rPr>
          <w:rFonts w:eastAsia="Times New Roman"/>
          <w:bCs w:val="false"/>
          <w:szCs w:val="24"/>
        </w:rPr>
        <w:t xml:space="preserve">Методические </w:t>
      </w:r>
      <w:r>
        <w:rPr/>
        <w:t>рекомендации по проведению судебных автотехнических экспертиз и исследований колесных транспортных средств в целях определения размера ущерба, стоимости восстановительного ремонта и оценки. Печатается по решению научно-методического совета ФБУ РФЦСЭ при Минюсте России, Москва 2018г.</w:t>
      </w:r>
    </w:p>
    <w:p>
      <w:pPr>
        <w:pStyle w:val="Normal"/>
        <w:numPr>
          <w:ilvl w:val="0"/>
          <w:numId w:val="1"/>
        </w:numPr>
        <w:suppressAutoHyphens w:val="true"/>
        <w:ind w:left="284" w:hanging="284"/>
        <w:jc w:val="both"/>
        <w:rPr/>
      </w:pPr>
      <w:r>
        <w:rPr/>
        <w:t>«Правила предоставления услуг по техническому обслуживанию и ремонту автомототранспортных средств».</w:t>
      </w:r>
    </w:p>
    <w:p>
      <w:pPr>
        <w:pStyle w:val="Normal"/>
        <w:widowControl w:val="false"/>
        <w:numPr>
          <w:ilvl w:val="0"/>
          <w:numId w:val="1"/>
        </w:numPr>
        <w:tabs>
          <w:tab w:val="clear" w:pos="708"/>
          <w:tab w:val="left" w:pos="284" w:leader="none"/>
          <w:tab w:val="left" w:pos="502" w:leader="none"/>
        </w:tabs>
        <w:suppressAutoHyphens w:val="true"/>
        <w:ind w:left="284" w:hanging="284"/>
        <w:jc w:val="both"/>
        <w:rPr/>
      </w:pPr>
      <w:r>
        <w:rPr/>
        <w:t xml:space="preserve">Пособие для экспертов-автотехников, следователей и судей. «Судебная автотехническая экспертиза.  Часть 2.  Теоретические основы и методики экспертного исследования при производстве автотехнической экспертизы». </w:t>
      </w:r>
    </w:p>
    <w:p>
      <w:pPr>
        <w:pStyle w:val="Normal"/>
        <w:widowControl w:val="false"/>
        <w:numPr>
          <w:ilvl w:val="0"/>
          <w:numId w:val="1"/>
        </w:numPr>
        <w:tabs>
          <w:tab w:val="clear" w:pos="708"/>
          <w:tab w:val="left" w:pos="284" w:leader="none"/>
          <w:tab w:val="left" w:pos="502" w:leader="none"/>
        </w:tabs>
        <w:suppressAutoHyphens w:val="true"/>
        <w:ind w:left="284" w:right="-1" w:hanging="284"/>
        <w:jc w:val="both"/>
        <w:rPr/>
      </w:pPr>
      <w:r>
        <w:rPr/>
        <w:t>Государственный стандарт «Требования безопасности к техническому состоянию и методы проверки» ГОСТ Р 51709-2001</w:t>
      </w:r>
    </w:p>
    <w:p>
      <w:pPr>
        <w:pStyle w:val="Normal"/>
        <w:widowControl w:val="false"/>
        <w:numPr>
          <w:ilvl w:val="0"/>
          <w:numId w:val="1"/>
        </w:numPr>
        <w:tabs>
          <w:tab w:val="clear" w:pos="708"/>
          <w:tab w:val="left" w:pos="284" w:leader="none"/>
          <w:tab w:val="left" w:pos="502" w:leader="none"/>
        </w:tabs>
        <w:suppressAutoHyphens w:val="true"/>
        <w:ind w:left="284" w:hanging="284"/>
        <w:jc w:val="both"/>
        <w:rPr/>
      </w:pPr>
      <w:r>
        <w:rPr/>
        <w:t xml:space="preserve">Государственный стандарт «Система технического обслуживания и ремонта техники. Термины и определения», ГОСТ 18.322 (СТ СЭВ5151). </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Государственный стандарт «Надёжность в технике. Термины и определения», ГОСТ 27.002.</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Государственный стандарт «Эксплуатация техники. Термины и определения», ГОСТ 25866.</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Колесов И. М. «Основы технологии машиностроения», М., «Высшая школа», 1999г.</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Постановление Правительства Российской Федерации от 24 апреля 2003 г. № 238 "Об организации независимой технической экспертизы транспортных средств".</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9.032 – 74 «Единая система защиты от коррозии и старения. Покрытия лакокрасочные. Классификация и обозначения».</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9.072 – 77 «Единая система защиты от коррозии и старения. Покрытия лакокрасочные. Термины и определения».</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9.407 – 84 «Единая система защиты от коррозии и старения. Покрытия лакокрасочные. Метод оценки внешнего вида».</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9.908-85 Единая система защиты от коррозии и старения МЕТАЛЛЫ И СПЛАВЫ</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9.402 – 2004 «Единая система защиты от коррозии и старения. Покрытия лакокрасочные. Подготовка металлических покрытий к окрашиванию».</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 xml:space="preserve">ГОСТ 15140 – 78 «Покрытия лакокрасочные. Методы определения адгезии». </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5272 – 68 «Коррозия металлов. Термины».</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Р 51694 – 2000 «Материалы лакокрасочные. Определение толщины покрытия».</w:t>
      </w:r>
    </w:p>
    <w:p>
      <w:pPr>
        <w:pStyle w:val="Style40"/>
        <w:numPr>
          <w:ilvl w:val="0"/>
          <w:numId w:val="1"/>
        </w:numPr>
        <w:tabs>
          <w:tab w:val="left" w:pos="284" w:leader="none"/>
          <w:tab w:val="left" w:pos="708" w:leader="none"/>
        </w:tabs>
        <w:ind w:left="284" w:right="0" w:hanging="284"/>
        <w:rPr>
          <w:rFonts w:eastAsia="Times New Roman"/>
          <w:bCs w:val="false"/>
          <w:szCs w:val="24"/>
        </w:rPr>
      </w:pPr>
      <w:r>
        <w:rPr>
          <w:rFonts w:eastAsia="Times New Roman"/>
          <w:bCs w:val="false"/>
          <w:szCs w:val="24"/>
        </w:rPr>
        <w:t>ГОСТ 28246-2006 – «МАТЕРИАЛЫ ЛАКОКРАСОЧНЫЕ (Термины и определения)».</w:t>
      </w:r>
    </w:p>
    <w:p>
      <w:pPr>
        <w:pStyle w:val="Style40"/>
        <w:numPr>
          <w:ilvl w:val="0"/>
          <w:numId w:val="1"/>
        </w:numPr>
        <w:tabs>
          <w:tab w:val="left" w:pos="284" w:leader="none"/>
          <w:tab w:val="left" w:pos="708" w:leader="none"/>
        </w:tabs>
        <w:ind w:left="284" w:right="284" w:hanging="284"/>
        <w:rPr>
          <w:rFonts w:eastAsia="Times New Roman"/>
          <w:bCs w:val="false"/>
          <w:szCs w:val="24"/>
        </w:rPr>
      </w:pPr>
      <w:r>
        <w:rPr>
          <w:rFonts w:eastAsia="Times New Roman"/>
          <w:bCs w:val="false"/>
          <w:szCs w:val="24"/>
        </w:rPr>
        <w:t>Методическое Руководство по определению стоимости автотранспортных средств с учетом естественного износа и технического состояния на момент предъявления" (РД 37.009.015-98).</w:t>
      </w:r>
    </w:p>
    <w:p>
      <w:pPr>
        <w:pStyle w:val="Style40"/>
        <w:numPr>
          <w:ilvl w:val="0"/>
          <w:numId w:val="1"/>
        </w:numPr>
        <w:tabs>
          <w:tab w:val="left" w:pos="284" w:leader="none"/>
          <w:tab w:val="left" w:pos="708" w:leader="none"/>
        </w:tabs>
        <w:ind w:left="284" w:right="284" w:hanging="284"/>
        <w:rPr>
          <w:rFonts w:eastAsia="Times New Roman"/>
          <w:bCs w:val="false"/>
          <w:szCs w:val="24"/>
        </w:rPr>
      </w:pPr>
      <w:r>
        <w:rPr>
          <w:rFonts w:eastAsia="Times New Roman"/>
          <w:bCs w:val="false"/>
          <w:szCs w:val="24"/>
        </w:rPr>
        <w:t>Методические рекомендации по проведению независимой технической экспертизы транспортного средства при ОСАГО, № 001МР/СЭ.</w:t>
      </w:r>
    </w:p>
    <w:p>
      <w:pPr>
        <w:pStyle w:val="Style40"/>
        <w:numPr>
          <w:ilvl w:val="0"/>
          <w:numId w:val="1"/>
        </w:numPr>
        <w:tabs>
          <w:tab w:val="left" w:pos="284" w:leader="none"/>
          <w:tab w:val="left" w:pos="708" w:leader="none"/>
        </w:tabs>
        <w:ind w:left="284" w:right="284" w:hanging="284"/>
        <w:rPr>
          <w:rFonts w:eastAsia="Times New Roman"/>
          <w:bCs w:val="false"/>
          <w:szCs w:val="24"/>
        </w:rPr>
      </w:pPr>
      <w:r>
        <w:rPr>
          <w:rFonts w:eastAsia="Times New Roman"/>
          <w:bCs w:val="false"/>
          <w:szCs w:val="24"/>
        </w:rPr>
        <w:t>Постановление Правительства РФ «Об организации независимой технической экспертизы транспортных средств» №238 от 24.04.2003 г.</w:t>
      </w:r>
    </w:p>
    <w:p>
      <w:pPr>
        <w:pStyle w:val="Style40"/>
        <w:numPr>
          <w:ilvl w:val="0"/>
          <w:numId w:val="0"/>
        </w:numPr>
        <w:tabs>
          <w:tab w:val="left" w:pos="284" w:leader="none"/>
          <w:tab w:val="left" w:pos="708" w:leader="none"/>
        </w:tabs>
        <w:ind w:right="284" w:firstLine="240"/>
        <w:rPr>
          <w:rFonts w:eastAsia="Times New Roman"/>
          <w:bCs w:val="false"/>
          <w:szCs w:val="24"/>
        </w:rPr>
      </w:pPr>
      <w:r>
        <w:rPr>
          <w:rFonts w:eastAsia="Times New Roman"/>
          <w:bCs w:val="false"/>
          <w:szCs w:val="24"/>
        </w:rPr>
      </w:r>
    </w:p>
    <w:p>
      <w:pPr>
        <w:pStyle w:val="Normal"/>
        <w:keepNext w:val="true"/>
        <w:numPr>
          <w:ilvl w:val="0"/>
          <w:numId w:val="0"/>
        </w:numPr>
        <w:tabs>
          <w:tab w:val="clear" w:pos="708"/>
          <w:tab w:val="left" w:pos="851" w:leader="none"/>
        </w:tabs>
        <w:spacing w:lineRule="auto" w:line="120"/>
        <w:outlineLvl w:val="1"/>
        <w:rPr>
          <w:b/>
          <w:b/>
        </w:rPr>
      </w:pPr>
      <w:r>
        <w:rPr>
          <w:b/>
        </w:rPr>
      </w:r>
    </w:p>
    <w:p>
      <w:pPr>
        <w:pStyle w:val="Normal"/>
        <w:keepNext w:val="true"/>
        <w:numPr>
          <w:ilvl w:val="0"/>
          <w:numId w:val="0"/>
        </w:numPr>
        <w:tabs>
          <w:tab w:val="clear" w:pos="708"/>
          <w:tab w:val="left" w:pos="851" w:leader="none"/>
        </w:tabs>
        <w:spacing w:before="120" w:after="120"/>
        <w:jc w:val="center"/>
        <w:outlineLvl w:val="1"/>
        <w:rPr>
          <w:b/>
          <w:b/>
        </w:rPr>
      </w:pPr>
      <w:r>
        <w:rPr>
          <w:b/>
        </w:rPr>
        <w:t xml:space="preserve">ИССЛЕДОВАТЕЛЬСКАЯ ЧАСТЬ </w:t>
      </w:r>
    </w:p>
    <w:p>
      <w:pPr>
        <w:pStyle w:val="Normal"/>
        <w:keepNext w:val="true"/>
        <w:numPr>
          <w:ilvl w:val="0"/>
          <w:numId w:val="0"/>
        </w:numPr>
        <w:tabs>
          <w:tab w:val="clear" w:pos="708"/>
          <w:tab w:val="left" w:pos="851" w:leader="none"/>
        </w:tabs>
        <w:spacing w:before="120" w:after="120"/>
        <w:jc w:val="center"/>
        <w:outlineLvl w:val="1"/>
        <w:rPr>
          <w:b/>
          <w:b/>
        </w:rPr>
      </w:pPr>
      <w:r>
        <w:rPr>
          <w:b/>
        </w:rPr>
        <w:t>Термины и определения</w:t>
      </w:r>
    </w:p>
    <w:p>
      <w:pPr>
        <w:pStyle w:val="Normal"/>
        <w:ind w:firstLine="567"/>
        <w:jc w:val="both"/>
        <w:rPr/>
      </w:pPr>
      <w:r>
        <w:rPr/>
        <w:t>Международными и Государственными стандартами, определяющими в соответствии с законом обязательные требования к качеству, установлены термины и определения, используемые для определения параметров и характеристик качества (состояния) сложной технической продукции, в т. ч. и автомобилей, на всём периоде её существования, т.н. “жизненном цикле”.</w:t>
      </w:r>
    </w:p>
    <w:p>
      <w:pPr>
        <w:pStyle w:val="Normal"/>
        <w:ind w:right="-1" w:firstLine="567"/>
        <w:jc w:val="both"/>
        <w:rPr/>
      </w:pPr>
      <w:r>
        <w:rPr>
          <w:b/>
        </w:rPr>
        <w:t>Надёжность</w:t>
      </w:r>
      <w:r>
        <w:rPr/>
        <w:t xml:space="preserve"> (ГОСТ 27.002-89) –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pPr>
        <w:pStyle w:val="NormalIndent"/>
        <w:ind w:right="-1" w:firstLine="567"/>
        <w:rPr>
          <w:rFonts w:eastAsia="Times New Roman"/>
        </w:rPr>
      </w:pPr>
      <w:r>
        <w:rPr>
          <w:rFonts w:eastAsia="Times New Roman"/>
          <w:b/>
        </w:rPr>
        <w:t>Долговечность</w:t>
      </w:r>
      <w:r>
        <w:rPr>
          <w:rFonts w:eastAsia="Times New Roman"/>
        </w:rPr>
        <w:t xml:space="preserve"> (ГОСТ 27.002-89) – свойство объекта сохранять работоспособное состояние до наступления предельного состояния при установленной системе технического обслуживания и ремонта.</w:t>
      </w:r>
    </w:p>
    <w:p>
      <w:pPr>
        <w:pStyle w:val="Normal"/>
        <w:shd w:val="clear" w:color="auto" w:fill="FFFFFF"/>
        <w:ind w:firstLine="567"/>
        <w:jc w:val="both"/>
        <w:rPr/>
      </w:pPr>
      <w:r>
        <w:rPr>
          <w:b/>
        </w:rPr>
        <w:t>Техническое состояние АТС</w:t>
      </w:r>
      <w:r>
        <w:rPr/>
        <w:t xml:space="preserve"> (ГОСТ Р 51709-2001) − совокупность подверженных изменению в процессе эксплуатации свойств и установленных нормативными документами параметров АТС, определяющая возможности его применения по назначению.</w:t>
      </w:r>
    </w:p>
    <w:p>
      <w:pPr>
        <w:pStyle w:val="Normal"/>
        <w:ind w:right="-1" w:firstLine="567"/>
        <w:jc w:val="both"/>
        <w:rPr/>
      </w:pPr>
      <w:r>
        <w:rPr>
          <w:b/>
        </w:rPr>
        <w:t>Техническое состояние</w:t>
      </w:r>
      <w:r>
        <w:rPr/>
        <w:t xml:space="preserve"> (ГОСТ 19919-74) </w:t>
      </w:r>
      <w:r>
        <w:rPr>
          <w:rFonts w:eastAsia="Symbol" w:cs="Symbol" w:ascii="Symbol" w:hAnsi="Symbol"/>
        </w:rPr>
        <w:t></w:t>
      </w:r>
      <w:r>
        <w:rPr/>
        <w:t xml:space="preserve"> совокупность подверженных изменению в процессе производства или эксплуатации свойств объекта, характеризуемая в определённый момент времени признаками, установленными технической документацией на этот объект.</w:t>
      </w:r>
    </w:p>
    <w:p>
      <w:pPr>
        <w:pStyle w:val="Normal"/>
        <w:ind w:right="-1" w:firstLine="567"/>
        <w:jc w:val="both"/>
        <w:rPr/>
      </w:pPr>
      <w:r>
        <w:rPr>
          <w:u w:val="single"/>
        </w:rPr>
        <w:t>Примечание</w:t>
      </w:r>
      <w:r>
        <w:rPr/>
        <w:t xml:space="preserve">. Видами технического состояния являются исправность, работоспособность, неисправность, неработоспособность и т. д. </w:t>
      </w:r>
    </w:p>
    <w:p>
      <w:pPr>
        <w:pStyle w:val="223"/>
        <w:spacing w:lineRule="auto" w:line="240"/>
        <w:ind w:right="-1" w:firstLine="567"/>
        <w:rPr>
          <w:rFonts w:eastAsia="Times New Roman"/>
          <w:color w:val="auto"/>
        </w:rPr>
      </w:pPr>
      <w:r>
        <w:rPr>
          <w:rFonts w:eastAsia="Times New Roman"/>
          <w:b/>
          <w:color w:val="auto"/>
        </w:rPr>
        <w:t>Исправное состояние</w:t>
      </w:r>
      <w:r>
        <w:rPr>
          <w:rFonts w:eastAsia="Times New Roman"/>
          <w:color w:val="auto"/>
        </w:rPr>
        <w:t>, исправность (ГОСТ 27.002-89) – состояние объекта, при котором он соответствует всем требованиям нормативно-технической и(или) конструкторской документации.</w:t>
      </w:r>
    </w:p>
    <w:p>
      <w:pPr>
        <w:pStyle w:val="Normal"/>
        <w:shd w:val="clear" w:color="auto" w:fill="FFFFFF"/>
        <w:ind w:firstLine="567"/>
        <w:jc w:val="both"/>
        <w:rPr/>
      </w:pPr>
      <w:r>
        <w:rPr>
          <w:b/>
        </w:rPr>
        <w:t>Исправное состояние АТС</w:t>
      </w:r>
      <w:r>
        <w:rPr/>
        <w:t xml:space="preserve"> (ГОСТ Р51709-2001) − состояние, соответствующее всем требованиям нормативных документов, предъявляемым к конструкции и техническому состоянию АТС.</w:t>
      </w:r>
    </w:p>
    <w:p>
      <w:pPr>
        <w:pStyle w:val="223"/>
        <w:spacing w:lineRule="auto" w:line="240"/>
        <w:ind w:right="-1" w:firstLine="567"/>
        <w:rPr>
          <w:rFonts w:eastAsia="Times New Roman"/>
          <w:color w:val="auto"/>
        </w:rPr>
      </w:pPr>
      <w:r>
        <w:rPr>
          <w:rFonts w:eastAsia="Times New Roman"/>
          <w:b/>
          <w:color w:val="auto"/>
        </w:rPr>
        <w:t>Неисправное состояние</w:t>
      </w:r>
      <w:r>
        <w:rPr>
          <w:rFonts w:eastAsia="Times New Roman"/>
          <w:color w:val="auto"/>
        </w:rPr>
        <w:t>, неисправность (ГОСТ 27.002-89) – состояние объекта, при котором он не соответствует хотя бы одному из требований нормативно-технической и (или) конструкторской документации.</w:t>
      </w:r>
    </w:p>
    <w:p>
      <w:pPr>
        <w:pStyle w:val="223"/>
        <w:spacing w:lineRule="auto" w:line="240"/>
        <w:ind w:right="-1" w:firstLine="567"/>
        <w:rPr>
          <w:rFonts w:eastAsia="Times New Roman"/>
          <w:color w:val="auto"/>
        </w:rPr>
      </w:pPr>
      <w:r>
        <w:rPr>
          <w:rFonts w:eastAsia="Times New Roman"/>
          <w:b/>
          <w:color w:val="auto"/>
        </w:rPr>
        <w:t>Работоспособное состояние</w:t>
      </w:r>
      <w:r>
        <w:rPr>
          <w:rFonts w:eastAsia="Times New Roman"/>
          <w:color w:val="auto"/>
        </w:rPr>
        <w:t>, работоспособность (ГОСТ 27.002-89) – состояние объекта,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документации.</w:t>
      </w:r>
    </w:p>
    <w:p>
      <w:pPr>
        <w:pStyle w:val="Normal"/>
        <w:ind w:firstLine="567"/>
        <w:jc w:val="both"/>
        <w:rPr/>
      </w:pPr>
      <w:r>
        <w:rPr>
          <w:b/>
        </w:rPr>
        <w:t>Неработоспособное состояние</w:t>
      </w:r>
      <w:r>
        <w:rPr/>
        <w:t>, неработоспособность (ГОСТ 27.002-89) – состояние объекта, при котором значение хотя бы одного параметра, характеризующего способность</w:t>
      </w:r>
    </w:p>
    <w:p>
      <w:pPr>
        <w:pStyle w:val="223"/>
        <w:spacing w:lineRule="auto" w:line="240"/>
        <w:ind w:right="-1" w:firstLine="567"/>
        <w:rPr>
          <w:rFonts w:eastAsia="Times New Roman"/>
          <w:color w:val="auto"/>
        </w:rPr>
      </w:pPr>
      <w:r>
        <w:rPr>
          <w:rFonts w:eastAsia="Times New Roman"/>
          <w:color w:val="auto"/>
        </w:rPr>
        <w:t>выполнять заданные функции, не соответствует требованиям нормативно-технической и (или) конструкторской документации.</w:t>
      </w:r>
    </w:p>
    <w:p>
      <w:pPr>
        <w:pStyle w:val="223"/>
        <w:spacing w:lineRule="auto" w:line="240"/>
        <w:ind w:right="-1" w:firstLine="567"/>
        <w:rPr>
          <w:rFonts w:eastAsia="Times New Roman"/>
          <w:color w:val="auto"/>
        </w:rPr>
      </w:pPr>
      <w:r>
        <w:rPr>
          <w:rFonts w:eastAsia="Times New Roman"/>
          <w:color w:val="auto"/>
        </w:rPr>
        <w:t>Примечание к терминам “Исправное состояние”, “Неисправное состояние”, “Работоспособное состояние”, “Неработоспособное состояние”– данные понятия охватывают основные технические состояния объекта. Каждое из них характеризуется совокупностью значений параметров, описывающих состояние объекта, а также качественных признаков, для которых не применяют количественные оценки. Номенклатуру этих параметров и признаков, а также пределы допустимых их изменений устанавливают в нормативно-технической и (или) конструкторской (проектной) документации.</w:t>
      </w:r>
    </w:p>
    <w:p>
      <w:pPr>
        <w:pStyle w:val="223"/>
        <w:spacing w:lineRule="auto" w:line="240"/>
        <w:ind w:right="-1" w:firstLine="567"/>
        <w:rPr>
          <w:rFonts w:eastAsia="Times New Roman"/>
          <w:color w:val="auto"/>
        </w:rPr>
      </w:pPr>
      <w:r>
        <w:rPr>
          <w:rFonts w:eastAsia="Times New Roman"/>
          <w:color w:val="auto"/>
        </w:rPr>
        <w:t xml:space="preserve">Переход объекта из одного состояния в другое обычно происходит вследствие повреждения или отказа. Переход объекта из исправного состояния в неисправное работоспособное состояние происходит из-за повреждений. </w:t>
      </w:r>
    </w:p>
    <w:p>
      <w:pPr>
        <w:pStyle w:val="Normal"/>
        <w:shd w:val="clear" w:color="auto" w:fill="FFFFFF"/>
        <w:ind w:firstLine="567"/>
        <w:jc w:val="both"/>
        <w:rPr/>
      </w:pPr>
      <w:r>
        <w:rPr>
          <w:b/>
        </w:rPr>
        <w:t>Работоспособность</w:t>
      </w:r>
      <w:r>
        <w:rPr/>
        <w:t xml:space="preserve"> (Технический регламент) − состояние, при котором транспортное средство или его компоненты могут выполнять свои функции в соответствии с конструкторской или эксплуатационной документацией.</w:t>
      </w:r>
    </w:p>
    <w:p>
      <w:pPr>
        <w:pStyle w:val="Normal"/>
        <w:ind w:right="-1" w:firstLine="567"/>
        <w:jc w:val="both"/>
        <w:rPr/>
      </w:pPr>
      <w:r>
        <w:rPr>
          <w:b/>
        </w:rPr>
        <w:t>Несоответствие</w:t>
      </w:r>
      <w:r>
        <w:rPr/>
        <w:t xml:space="preserve"> (ГОСТ Р 50779.11-2000) –невыполнение установленного требования. </w:t>
      </w:r>
    </w:p>
    <w:p>
      <w:pPr>
        <w:pStyle w:val="Normal"/>
        <w:ind w:right="-1" w:firstLine="567"/>
        <w:jc w:val="both"/>
        <w:rPr/>
      </w:pPr>
      <w:r>
        <w:rPr/>
        <w:t>В некоторых ситуациях установленные требования совпадают с потребительскими требованиями. В других ситуациях они могут не совпадать, отличаясь большей или меньшей жесткостью, или точная связь между ними может быть не в полной мере известна или понятна.</w:t>
      </w:r>
    </w:p>
    <w:p>
      <w:pPr>
        <w:pStyle w:val="Normal"/>
        <w:ind w:right="-1" w:firstLine="567"/>
        <w:jc w:val="both"/>
        <w:rPr/>
      </w:pPr>
      <w:r>
        <w:rPr>
          <w:b/>
        </w:rPr>
        <w:t>Дефект</w:t>
      </w:r>
      <w:r>
        <w:rPr/>
        <w:t xml:space="preserve"> (ГОСТ Р 50779.11-2000) – невыполнение предполагаемого потребительского требования.</w:t>
      </w:r>
    </w:p>
    <w:p>
      <w:pPr>
        <w:pStyle w:val="Normal"/>
        <w:ind w:right="-1" w:firstLine="567"/>
        <w:jc w:val="both"/>
        <w:rPr/>
      </w:pPr>
      <w:r>
        <w:rPr/>
        <w:t>Термин «дефект» применим, когда признак качества продукции, процесса или услуги оценивают с точки зрения использования в отличие от соответствия техническим условиям.</w:t>
      </w:r>
    </w:p>
    <w:p>
      <w:pPr>
        <w:pStyle w:val="Normal"/>
        <w:shd w:val="clear" w:color="auto" w:fill="FFFFFF"/>
        <w:ind w:firstLine="567"/>
        <w:jc w:val="both"/>
        <w:rPr/>
      </w:pPr>
      <w:r>
        <w:rPr>
          <w:b/>
        </w:rPr>
        <w:t xml:space="preserve">Дефект </w:t>
      </w:r>
      <w:r>
        <w:rPr/>
        <w:t>(Технический регламент) −  каждое отдельное несоответствие транспортного средства (компонента) установленным требованиям.</w:t>
      </w:r>
    </w:p>
    <w:p>
      <w:pPr>
        <w:pStyle w:val="223"/>
        <w:spacing w:lineRule="auto" w:line="240"/>
        <w:ind w:right="-1" w:firstLine="567"/>
        <w:rPr>
          <w:rFonts w:eastAsia="Times New Roman"/>
          <w:color w:val="auto"/>
        </w:rPr>
      </w:pPr>
      <w:r>
        <w:rPr>
          <w:rFonts w:eastAsia="Times New Roman"/>
          <w:b/>
          <w:color w:val="auto"/>
        </w:rPr>
        <w:t>Дефект</w:t>
      </w:r>
      <w:r>
        <w:rPr>
          <w:rFonts w:eastAsia="Times New Roman"/>
          <w:color w:val="auto"/>
        </w:rPr>
        <w:t xml:space="preserve"> (ГОСТ 15467-79) – каждое отдельное несоответствие продукции установленным требованиям.</w:t>
      </w:r>
    </w:p>
    <w:p>
      <w:pPr>
        <w:pStyle w:val="223"/>
        <w:spacing w:lineRule="auto" w:line="240"/>
        <w:ind w:right="-1" w:firstLine="567"/>
        <w:rPr>
          <w:rFonts w:eastAsia="Times New Roman"/>
          <w:color w:val="auto"/>
        </w:rPr>
      </w:pPr>
      <w:r>
        <w:rPr>
          <w:rFonts w:eastAsia="Times New Roman"/>
          <w:b/>
          <w:color w:val="auto"/>
        </w:rPr>
        <w:t>Значительный дефект</w:t>
      </w:r>
      <w:r>
        <w:rPr>
          <w:rFonts w:eastAsia="Times New Roman"/>
          <w:color w:val="auto"/>
        </w:rPr>
        <w:t xml:space="preserve"> (ГОСТ 15467-79) – дефект, который существенно влияет на использование продукции по назначению и (или) на её долговечность, но не является критическим.</w:t>
      </w:r>
    </w:p>
    <w:p>
      <w:pPr>
        <w:pStyle w:val="223"/>
        <w:spacing w:lineRule="auto" w:line="240"/>
        <w:ind w:right="-1" w:firstLine="567"/>
        <w:rPr>
          <w:rFonts w:eastAsia="Times New Roman"/>
          <w:color w:val="auto"/>
        </w:rPr>
      </w:pPr>
      <w:r>
        <w:rPr>
          <w:rFonts w:eastAsia="Times New Roman"/>
          <w:b/>
          <w:color w:val="auto"/>
        </w:rPr>
        <w:t>Малозначительный дефект</w:t>
      </w:r>
      <w:r>
        <w:rPr>
          <w:rFonts w:eastAsia="Times New Roman"/>
          <w:color w:val="auto"/>
        </w:rPr>
        <w:t xml:space="preserve"> (ГОСТ 15467-79) – дефект, который существенно не влияет на использование продукции по назначению и ее долговечность.</w:t>
      </w:r>
    </w:p>
    <w:p>
      <w:pPr>
        <w:pStyle w:val="Normal"/>
        <w:ind w:right="-1" w:firstLine="567"/>
        <w:jc w:val="both"/>
        <w:rPr/>
      </w:pPr>
      <w:r>
        <w:rPr>
          <w:b/>
        </w:rPr>
        <w:t>Явный дефект</w:t>
      </w:r>
      <w:r>
        <w:rPr/>
        <w:t xml:space="preserve"> (ГОСТ 15467-79) – дефект, для выявления которого в нормативной документации, обязательной для данного вида контроля, предусмотрены соответствующие правила, методы и средства.</w:t>
      </w:r>
    </w:p>
    <w:p>
      <w:pPr>
        <w:pStyle w:val="223"/>
        <w:spacing w:lineRule="auto" w:line="240"/>
        <w:ind w:right="-1" w:firstLine="567"/>
        <w:rPr>
          <w:rFonts w:eastAsia="Times New Roman"/>
          <w:color w:val="auto"/>
        </w:rPr>
      </w:pPr>
      <w:r>
        <w:rPr>
          <w:rFonts w:eastAsia="Times New Roman"/>
          <w:b/>
          <w:color w:val="auto"/>
        </w:rPr>
        <w:t>Скрытый дефект</w:t>
      </w:r>
      <w:r>
        <w:rPr>
          <w:rFonts w:eastAsia="Times New Roman"/>
          <w:color w:val="auto"/>
        </w:rPr>
        <w:t xml:space="preserve"> (ГОСТ 15467-79) – дефект, для выявления которого в нормативной документации, обязательной для данного вида контроля, не предусмотрены соответствующие правила, методы и средства.</w:t>
      </w:r>
    </w:p>
    <w:p>
      <w:pPr>
        <w:pStyle w:val="Normal"/>
        <w:tabs>
          <w:tab w:val="clear" w:pos="708"/>
          <w:tab w:val="left" w:pos="9922" w:leader="none"/>
        </w:tabs>
        <w:ind w:right="-1" w:firstLine="567"/>
        <w:jc w:val="both"/>
        <w:rPr/>
      </w:pPr>
      <w:r>
        <w:rPr>
          <w:b/>
        </w:rPr>
        <w:t>Скрытый дефект</w:t>
      </w:r>
      <w:r>
        <w:rPr/>
        <w:t xml:space="preserve"> (РД 37.009.026-92) – дефект, происхождение которых связано с некачественным изготовлением, сборкой или регулировкой, как про</w:t>
        <w:softHyphen/>
        <w:t>дукции в целом, так и составляющих её частей и выявление которых, с помощью применяемых методов и средств контроля в технологическом процессе изготовления, невозможно.</w:t>
      </w:r>
    </w:p>
    <w:p>
      <w:pPr>
        <w:pStyle w:val="223"/>
        <w:spacing w:lineRule="auto" w:line="240"/>
        <w:ind w:right="-1" w:firstLine="567"/>
        <w:rPr>
          <w:rFonts w:eastAsia="Times New Roman"/>
          <w:color w:val="auto"/>
        </w:rPr>
      </w:pPr>
      <w:r>
        <w:rPr>
          <w:rFonts w:eastAsia="Times New Roman"/>
          <w:b/>
          <w:color w:val="auto"/>
        </w:rPr>
        <w:t>Критический дефект</w:t>
      </w:r>
      <w:r>
        <w:rPr>
          <w:rFonts w:eastAsia="Times New Roman"/>
          <w:color w:val="auto"/>
        </w:rPr>
        <w:t xml:space="preserve"> (ГОСТ 15467-79) – дефект, при наличии которого использование продукции по назначению практически невозможно или недопустимо.</w:t>
      </w:r>
    </w:p>
    <w:p>
      <w:pPr>
        <w:pStyle w:val="223"/>
        <w:spacing w:lineRule="auto" w:line="240"/>
        <w:ind w:right="-1" w:firstLine="567"/>
        <w:rPr>
          <w:rFonts w:eastAsia="Times New Roman"/>
          <w:color w:val="auto"/>
        </w:rPr>
      </w:pPr>
      <w:r>
        <w:rPr>
          <w:rFonts w:eastAsia="Times New Roman"/>
          <w:b/>
          <w:color w:val="auto"/>
        </w:rPr>
        <w:t>Устранимый дефект</w:t>
      </w:r>
      <w:r>
        <w:rPr>
          <w:rFonts w:eastAsia="Times New Roman"/>
          <w:color w:val="auto"/>
        </w:rPr>
        <w:t xml:space="preserve"> (ГОСТ 15467-79) – дефект, устранение которого технически возможно и экономически целесообразно.</w:t>
      </w:r>
    </w:p>
    <w:p>
      <w:pPr>
        <w:pStyle w:val="223"/>
        <w:spacing w:lineRule="auto" w:line="240"/>
        <w:ind w:right="-1" w:firstLine="567"/>
        <w:rPr>
          <w:rFonts w:eastAsia="Times New Roman"/>
          <w:color w:val="auto"/>
        </w:rPr>
      </w:pPr>
      <w:r>
        <w:rPr>
          <w:rFonts w:eastAsia="Times New Roman"/>
          <w:b/>
          <w:color w:val="auto"/>
        </w:rPr>
        <w:t>Неустранимый дефект</w:t>
      </w:r>
      <w:r>
        <w:rPr>
          <w:rFonts w:eastAsia="Times New Roman"/>
          <w:color w:val="auto"/>
        </w:rPr>
        <w:t xml:space="preserve"> (ГОСТ 15467-79) – дефект, устранение которого технически невозможно или экономически нецелесообразно.</w:t>
      </w:r>
    </w:p>
    <w:p>
      <w:pPr>
        <w:pStyle w:val="223"/>
        <w:spacing w:lineRule="auto" w:line="240"/>
        <w:ind w:right="-1" w:firstLine="567"/>
        <w:rPr>
          <w:rFonts w:eastAsia="Times New Roman"/>
          <w:color w:val="auto"/>
        </w:rPr>
      </w:pPr>
      <w:r>
        <w:rPr>
          <w:rFonts w:eastAsia="Times New Roman"/>
          <w:b/>
          <w:color w:val="auto"/>
        </w:rPr>
        <w:t>Повреждение</w:t>
      </w:r>
      <w:r>
        <w:rPr>
          <w:rFonts w:eastAsia="Times New Roman"/>
          <w:color w:val="auto"/>
        </w:rPr>
        <w:t xml:space="preserve"> (ГОСТ 27.002-89) – событие, заключающееся в нарушении исправного состояния при сохранении работоспособного состояния.</w:t>
      </w:r>
    </w:p>
    <w:p>
      <w:pPr>
        <w:pStyle w:val="Normal"/>
        <w:ind w:right="-1" w:firstLine="567"/>
        <w:jc w:val="both"/>
        <w:rPr/>
      </w:pPr>
      <w:r>
        <w:rPr>
          <w:b/>
        </w:rPr>
        <w:t>Отказ</w:t>
      </w:r>
      <w:r>
        <w:rPr/>
        <w:t xml:space="preserve"> (ГОСТ 27.002-89) – событие, заключающееся в нарушении работоспособного состояния объекта</w:t>
      </w:r>
    </w:p>
    <w:p>
      <w:pPr>
        <w:pStyle w:val="Normal"/>
        <w:ind w:right="-1" w:firstLine="567"/>
        <w:jc w:val="both"/>
        <w:rPr/>
      </w:pPr>
      <w:r>
        <w:rPr/>
        <w:t>Производственный отказ (ГОСТ 27.002-89) – отказ, возникший в результате несовершенства или нарушения установленного процесса изготовления или ремонта объекта, выполнявшегося на ремонтном предприятии.</w:t>
      </w:r>
    </w:p>
    <w:p>
      <w:pPr>
        <w:pStyle w:val="Normal"/>
        <w:ind w:right="-1" w:firstLine="567"/>
        <w:jc w:val="both"/>
        <w:rPr/>
      </w:pPr>
      <w:r>
        <w:rPr>
          <w:b/>
        </w:rPr>
        <w:t>Эксплуатационный отказ</w:t>
      </w:r>
      <w:r>
        <w:rPr/>
        <w:t xml:space="preserve"> (ГОСТ 27.002-89) – отказ, возникший в результате нарушения установленных правил и (или) условий эксплуатации объекта.</w:t>
      </w:r>
    </w:p>
    <w:p>
      <w:pPr>
        <w:pStyle w:val="Normal"/>
        <w:ind w:firstLine="567"/>
        <w:jc w:val="both"/>
        <w:rPr/>
      </w:pPr>
      <w:r>
        <w:rPr>
          <w:b/>
        </w:rPr>
        <w:t xml:space="preserve">Эксплуатация </w:t>
      </w:r>
      <w:r>
        <w:rPr/>
        <w:t>(Технический регламент) −  стадия жизненного цикла транспортного средства, включающая промежуток времени, когда транспортное средство используется по назначению, с момента его приобретения для использования по назначению до момента утилизации.</w:t>
      </w:r>
    </w:p>
    <w:p>
      <w:pPr>
        <w:pStyle w:val="Normal"/>
        <w:ind w:right="-1" w:firstLine="567"/>
        <w:jc w:val="both"/>
        <w:rPr/>
      </w:pPr>
      <w:r>
        <w:rPr>
          <w:b/>
        </w:rPr>
        <w:t>Эксплуатация</w:t>
      </w:r>
      <w:r>
        <w:rPr/>
        <w:t xml:space="preserve"> (ГОСТ 25866-83) </w:t>
      </w:r>
      <w:r>
        <w:rPr>
          <w:rFonts w:eastAsia="Symbol" w:cs="Symbol" w:ascii="Symbol" w:hAnsi="Symbol"/>
        </w:rPr>
        <w:t></w:t>
      </w:r>
      <w:r>
        <w:rPr/>
        <w:t xml:space="preserve"> стадия жизненного  цикла  изделия, на  которой  реализуется,   поддержива</w:t>
        <w:softHyphen/>
        <w:t>ется  и  восстанавливается  его  качес</w:t>
        <w:softHyphen/>
        <w:t xml:space="preserve">тво. </w:t>
      </w:r>
    </w:p>
    <w:p>
      <w:pPr>
        <w:pStyle w:val="Normal"/>
        <w:shd w:val="clear" w:color="auto" w:fill="FFFFFF"/>
        <w:ind w:right="-1" w:firstLine="567"/>
        <w:jc w:val="both"/>
        <w:rPr/>
      </w:pPr>
      <w:r>
        <w:rPr>
          <w:u w:val="single"/>
        </w:rPr>
        <w:t>Примечание.</w:t>
      </w:r>
      <w:r>
        <w:rPr/>
        <w:t xml:space="preserve"> Эксплуатация изделия включает в себя в общем случае ис</w:t>
        <w:softHyphen/>
        <w:t>пользование по назначению, транс</w:t>
        <w:softHyphen/>
        <w:t xml:space="preserve">портирование, хранение, техническое обслуживание и ремонт. </w:t>
      </w:r>
    </w:p>
    <w:p>
      <w:pPr>
        <w:pStyle w:val="Normal"/>
        <w:ind w:right="-1" w:firstLine="567"/>
        <w:jc w:val="both"/>
        <w:rPr/>
      </w:pPr>
      <w:r>
        <w:rPr>
          <w:b/>
        </w:rPr>
        <w:t>Ремонт</w:t>
      </w:r>
      <w:r>
        <w:rPr/>
        <w:t xml:space="preserve"> (ГОСТ 18322-78) </w:t>
      </w:r>
      <w:r>
        <w:rPr>
          <w:rFonts w:eastAsia="Symbol" w:cs="Symbol" w:ascii="Symbol" w:hAnsi="Symbol"/>
        </w:rPr>
        <w:t></w:t>
      </w:r>
      <w:r>
        <w:rPr/>
        <w:t xml:space="preserve"> комплекс операций по восстановлению исправности или работоспособности изделия и восстановления ресурсов изделий или их составных частей.</w:t>
      </w:r>
    </w:p>
    <w:p>
      <w:pPr>
        <w:pStyle w:val="Style31"/>
        <w:ind w:firstLine="567"/>
        <w:jc w:val="both"/>
        <w:rPr/>
      </w:pPr>
      <w:r>
        <w:rPr>
          <w:b/>
        </w:rPr>
        <w:t>Капитальный ремонт</w:t>
      </w:r>
      <w:r>
        <w:rPr>
          <w:b/>
          <w:lang w:val="ru-RU"/>
        </w:rPr>
        <w:t xml:space="preserve"> </w:t>
      </w:r>
      <w:r>
        <w:rPr/>
        <w:t>(ГОСТ 18322-78)</w:t>
      </w:r>
      <w:r>
        <w:rPr>
          <w:lang w:val="ru-RU"/>
        </w:rPr>
        <w:t xml:space="preserve"> </w:t>
      </w:r>
      <w:r>
        <w:rPr>
          <w:rFonts w:eastAsia="Symbol" w:cs="Symbol" w:ascii="Symbol" w:hAnsi="Symbol"/>
        </w:rPr>
        <w:t></w:t>
      </w:r>
      <w:r>
        <w:rPr/>
        <w:t xml:space="preserve"> ремонт, выполняемый для восстановле</w:t>
        <w:softHyphen/>
        <w:t>ния исправности полного или близкого к полному восстановлению ресурса изде</w:t>
        <w:softHyphen/>
        <w:t xml:space="preserve">лия с заменой или восстановлением любых его частей, включая базовые </w:t>
      </w:r>
    </w:p>
    <w:p>
      <w:pPr>
        <w:pStyle w:val="Normal"/>
        <w:ind w:right="-1" w:firstLine="567"/>
        <w:jc w:val="both"/>
        <w:rPr/>
      </w:pPr>
      <w:r>
        <w:rPr/>
        <w:t>Примечание. Значение близко к полному ресурсу устанавливается в нор</w:t>
        <w:softHyphen/>
        <w:t>мативно-технической документации</w:t>
      </w:r>
    </w:p>
    <w:p>
      <w:pPr>
        <w:pStyle w:val="Normal"/>
        <w:ind w:right="-1" w:firstLine="567"/>
        <w:jc w:val="both"/>
        <w:rPr/>
      </w:pPr>
      <w:r>
        <w:rPr>
          <w:b/>
        </w:rPr>
        <w:t>Текущий ремонт</w:t>
      </w:r>
      <w:r>
        <w:rPr/>
        <w:t xml:space="preserve"> (ГОСТ 18322-78) </w:t>
      </w:r>
      <w:r>
        <w:rPr>
          <w:rFonts w:eastAsia="Symbol" w:cs="Symbol" w:ascii="Symbol" w:hAnsi="Symbol"/>
        </w:rPr>
        <w:t></w:t>
      </w:r>
      <w:r>
        <w:rPr/>
        <w:t xml:space="preserve"> ремонт, выполняемый  для обеспечения или восстановле</w:t>
        <w:softHyphen/>
        <w:t>ния работоспособности из</w:t>
        <w:softHyphen/>
        <w:t>делия и состоящий в замене и (или) восстановлении отдельных частей.</w:t>
      </w:r>
    </w:p>
    <w:p>
      <w:pPr>
        <w:pStyle w:val="Normal"/>
        <w:ind w:right="-1" w:firstLine="567"/>
        <w:jc w:val="both"/>
        <w:rPr/>
      </w:pPr>
      <w:r>
        <w:rPr>
          <w:b/>
        </w:rPr>
        <w:t>Восстанавливаемый объект</w:t>
      </w:r>
      <w:r>
        <w:rPr/>
        <w:t xml:space="preserve"> (ГОСТ 27.002-89) –  объект, для которого в рассматриваемой ситуации проведение восстановления работоспособного состояния предусмотрено в нормативно-технической и (или) конструкторской (проектной) документации.</w:t>
      </w:r>
    </w:p>
    <w:p>
      <w:pPr>
        <w:pStyle w:val="Normal"/>
        <w:ind w:right="-1" w:firstLine="567"/>
        <w:jc w:val="both"/>
        <w:rPr/>
      </w:pPr>
      <w:r>
        <w:rPr>
          <w:b/>
        </w:rPr>
        <w:t>Невосстанавливаемый объект</w:t>
      </w:r>
      <w:r>
        <w:rPr/>
        <w:t xml:space="preserve"> (ГОСТ 27.002-89) –  объект, для которого в рассматриваемой ситуации проведение восстановления работоспособного состояния не предусмотрено в нормативно-технической и (или) конструкторской (проектной) документации.</w:t>
      </w:r>
    </w:p>
    <w:p>
      <w:pPr>
        <w:pStyle w:val="Normal"/>
        <w:ind w:right="-1" w:firstLine="567"/>
        <w:jc w:val="both"/>
        <w:rPr/>
      </w:pPr>
      <w:r>
        <w:rPr>
          <w:b/>
        </w:rPr>
        <w:t>Ремонтируемый объект</w:t>
      </w:r>
      <w:r>
        <w:rPr/>
        <w:t xml:space="preserve"> (ГОСТ 27.002-89) – объект, ремонт которого возможен и предусмотрен нормативно-технической, ремонтной и (или) конструкторской (проектной) документацией.</w:t>
      </w:r>
    </w:p>
    <w:p>
      <w:pPr>
        <w:pStyle w:val="Normal"/>
        <w:ind w:right="-1" w:firstLine="567"/>
        <w:jc w:val="both"/>
        <w:rPr/>
      </w:pPr>
      <w:r>
        <w:rPr>
          <w:b/>
        </w:rPr>
        <w:t>Неремонтируемый объект</w:t>
      </w:r>
      <w:r>
        <w:rPr/>
        <w:t xml:space="preserve"> (ГОСТ 27.002-89) – объект, ремонт которого не возможен или не предусмотрен нормативно-технической, ремонтной и (или) конструкторской (проектной) документацией.</w:t>
      </w:r>
    </w:p>
    <w:p>
      <w:pPr>
        <w:pStyle w:val="A"/>
        <w:ind w:right="-1" w:firstLine="567"/>
        <w:rPr>
          <w:rFonts w:ascii="Times New Roman" w:hAnsi="Times New Roman" w:cs="Times New Roman"/>
        </w:rPr>
      </w:pPr>
      <w:r>
        <w:rPr>
          <w:rFonts w:cs="Times New Roman" w:ascii="Times New Roman" w:hAnsi="Times New Roman"/>
          <w:b/>
        </w:rPr>
        <w:t> </w:t>
      </w:r>
      <w:r>
        <w:rPr>
          <w:rFonts w:cs="Times New Roman" w:ascii="Times New Roman" w:hAnsi="Times New Roman"/>
          <w:b/>
        </w:rPr>
        <w:t>Недостаток</w:t>
      </w:r>
      <w:r>
        <w:rPr>
          <w:rFonts w:cs="Times New Roman" w:ascii="Times New Roman" w:hAnsi="Times New Roman"/>
        </w:rPr>
        <w:t xml:space="preserve"> (ГОСТ Р 50779.11-2000) – отклонение действительного уровня или состояния признака качества от намеченного уровня или состояния вне всякой связи с соответствием требованиям технических условий или потребительским свойствам продукции или услуги.</w:t>
      </w:r>
    </w:p>
    <w:p>
      <w:pPr>
        <w:pStyle w:val="A"/>
        <w:ind w:right="-1" w:firstLine="567"/>
        <w:rPr>
          <w:rFonts w:ascii="Times New Roman" w:hAnsi="Times New Roman" w:cs="Times New Roman"/>
        </w:rPr>
      </w:pPr>
      <w:r>
        <w:rPr>
          <w:rFonts w:cs="Times New Roman" w:ascii="Times New Roman" w:hAnsi="Times New Roman"/>
          <w:u w:val="single"/>
        </w:rPr>
        <w:t>Примечание</w:t>
      </w:r>
      <w:r>
        <w:rPr>
          <w:rFonts w:cs="Times New Roman" w:ascii="Times New Roman" w:hAnsi="Times New Roman"/>
        </w:rPr>
        <w:t xml:space="preserve">. </w:t>
      </w:r>
    </w:p>
    <w:p>
      <w:pPr>
        <w:pStyle w:val="A"/>
        <w:ind w:right="-1" w:firstLine="567"/>
        <w:rPr>
          <w:rFonts w:ascii="Times New Roman" w:hAnsi="Times New Roman" w:cs="Times New Roman"/>
        </w:rPr>
      </w:pPr>
      <w:r>
        <w:rPr>
          <w:rFonts w:cs="Times New Roman" w:ascii="Times New Roman" w:hAnsi="Times New Roman"/>
        </w:rPr>
        <w:t xml:space="preserve">1. Само существование установленных пределов поля допуска - это признание того, что отсутствие недостатков каждого признака качества в сущности непрактично с экономической точки зрения и в обычных условиях физически невозможно. Во многих ситуациях отсутствие недостатков нельзя рассматривать иначе, как только некоторую желательную цель. </w:t>
      </w:r>
    </w:p>
    <w:p>
      <w:pPr>
        <w:pStyle w:val="A"/>
        <w:ind w:right="-1" w:firstLine="567"/>
        <w:rPr>
          <w:rFonts w:ascii="Times New Roman" w:hAnsi="Times New Roman" w:cs="Times New Roman"/>
        </w:rPr>
      </w:pPr>
      <w:r>
        <w:rPr>
          <w:rFonts w:cs="Times New Roman" w:ascii="Times New Roman" w:hAnsi="Times New Roman"/>
        </w:rPr>
        <w:t>2. Термин «недостаток» - общая классификация. Каждый вид недостатка обычно можно назвать отдельным словом или словами, например, царапина, масса, отсутствие детали. Показателем значимости недостатка может быть измеренное отклонение, соответствие классификатору или некоторой другой шкале. Некоторые недостатки могут быть связаны с подробной классификацией по степени серьезности или измеренной величине, в то время как другие, такие как отсутствие детали, имеют только одно значение «да» или «нет».</w:t>
      </w:r>
    </w:p>
    <w:p>
      <w:pPr>
        <w:pStyle w:val="Ae"/>
        <w:spacing w:lineRule="auto" w:line="240" w:before="0" w:after="0"/>
        <w:ind w:right="-1" w:firstLine="567"/>
        <w:jc w:val="both"/>
        <w:rPr>
          <w:rFonts w:eastAsia="Times New Roman"/>
          <w:color w:val="auto"/>
        </w:rPr>
      </w:pPr>
      <w:r>
        <w:rPr>
          <w:rFonts w:eastAsia="Times New Roman"/>
          <w:b/>
          <w:color w:val="auto"/>
        </w:rPr>
        <w:t>Существенный недостаток</w:t>
      </w:r>
      <w:r>
        <w:rPr>
          <w:rFonts w:eastAsia="Times New Roman"/>
          <w:color w:val="auto"/>
        </w:rPr>
        <w:t xml:space="preserve"> (Закон РФ "О защите прав потребителей")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w:t>
      </w:r>
    </w:p>
    <w:p>
      <w:pPr>
        <w:pStyle w:val="A"/>
        <w:ind w:right="-1" w:firstLine="567"/>
        <w:rPr>
          <w:rFonts w:ascii="Times New Roman" w:hAnsi="Times New Roman" w:cs="Times New Roman"/>
        </w:rPr>
      </w:pPr>
      <w:r>
        <w:rPr>
          <w:rFonts w:cs="Times New Roman" w:ascii="Times New Roman" w:hAnsi="Times New Roman"/>
          <w:b/>
        </w:rPr>
        <w:t>Производственный недостаток</w:t>
      </w:r>
      <w:r>
        <w:rPr>
          <w:rFonts w:cs="Times New Roman" w:ascii="Times New Roman" w:hAnsi="Times New Roman"/>
        </w:rPr>
        <w:t xml:space="preserve"> (Р 50-605-30-93) – отступление от требований конструкторской и (или) технологической документации на изготовление и (или) поставку продукции. </w:t>
      </w:r>
    </w:p>
    <w:p>
      <w:pPr>
        <w:pStyle w:val="A"/>
        <w:ind w:right="-1" w:firstLine="567"/>
        <w:rPr>
          <w:rFonts w:ascii="Times New Roman" w:hAnsi="Times New Roman" w:cs="Times New Roman"/>
        </w:rPr>
      </w:pPr>
      <w:r>
        <w:rPr>
          <w:rFonts w:cs="Times New Roman" w:ascii="Times New Roman" w:hAnsi="Times New Roman"/>
        </w:rPr>
        <w:t>Недостаток, заложенный на этапе конструирования или возникший по причине, связанной с несовершенством или нарушением установленного процесса изготовления или ремонта автомобиля и приведший к нарушению его исправности и работоспособности.</w:t>
      </w:r>
    </w:p>
    <w:p>
      <w:pPr>
        <w:pStyle w:val="A"/>
        <w:ind w:right="-1" w:firstLine="567"/>
        <w:rPr>
          <w:rFonts w:ascii="Times New Roman" w:hAnsi="Times New Roman" w:cs="Times New Roman"/>
        </w:rPr>
      </w:pPr>
      <w:r>
        <w:rPr>
          <w:rFonts w:cs="Times New Roman" w:ascii="Times New Roman" w:hAnsi="Times New Roman"/>
        </w:rPr>
      </w:r>
    </w:p>
    <w:p>
      <w:pPr>
        <w:pStyle w:val="Normal"/>
        <w:spacing w:before="0" w:after="120"/>
        <w:ind w:left="709" w:hanging="0"/>
        <w:jc w:val="center"/>
        <w:rPr>
          <w:b/>
          <w:b/>
        </w:rPr>
      </w:pPr>
      <w:r>
        <w:rPr>
          <w:b/>
        </w:rPr>
        <w:t>Методы проведения экспертизы.</w:t>
      </w:r>
    </w:p>
    <w:p>
      <w:pPr>
        <w:pStyle w:val="Normal"/>
        <w:spacing w:before="0" w:after="120"/>
        <w:ind w:firstLine="709"/>
        <w:rPr>
          <w:b/>
          <w:b/>
        </w:rPr>
      </w:pPr>
      <w:r>
        <w:rPr>
          <w:b/>
        </w:rPr>
        <w:t xml:space="preserve">Визуальный метод – </w:t>
      </w:r>
      <w:r>
        <w:rPr/>
        <w:t>исследование и оценка качества объектов с помощью органов зрения.</w:t>
      </w:r>
    </w:p>
    <w:p>
      <w:pPr>
        <w:pStyle w:val="Normal"/>
        <w:spacing w:before="0" w:after="120"/>
        <w:ind w:firstLine="709"/>
        <w:rPr/>
      </w:pPr>
      <w:r>
        <w:rPr>
          <w:b/>
        </w:rPr>
        <w:t xml:space="preserve">Измерительный метод – </w:t>
      </w:r>
      <w:r>
        <w:rPr/>
        <w:t>путем измерения параметров элементов специальными измерительными приборами.</w:t>
      </w:r>
    </w:p>
    <w:p>
      <w:pPr>
        <w:pStyle w:val="Normal"/>
        <w:spacing w:before="0" w:after="120"/>
        <w:ind w:firstLine="709"/>
        <w:rPr/>
      </w:pPr>
      <w:r>
        <w:rPr>
          <w:b/>
        </w:rPr>
        <w:t>Расчетный метод (косвенный измерительный метод)</w:t>
      </w:r>
      <w:r>
        <w:rPr/>
        <w:t xml:space="preserve"> – путем расчетов различных параметров на основании результатов измерения и других данных.</w:t>
      </w:r>
    </w:p>
    <w:p>
      <w:pPr>
        <w:pStyle w:val="A"/>
        <w:ind w:right="-1" w:firstLine="567"/>
        <w:rPr/>
      </w:pPr>
      <w:r>
        <w:rPr>
          <w:rFonts w:cs="Times New Roman" w:ascii="Times New Roman" w:hAnsi="Times New Roman"/>
          <w:b/>
        </w:rPr>
        <w:t xml:space="preserve">Экспертный метод (метод экспертной оценки) </w:t>
      </w:r>
      <w:r>
        <w:rPr/>
        <w:t xml:space="preserve">– </w:t>
      </w:r>
      <w:r>
        <w:rPr>
          <w:rFonts w:cs="Times New Roman" w:ascii="Times New Roman" w:hAnsi="Times New Roman"/>
        </w:rPr>
        <w:t>совокупность операций по выбору комплекса или единичных характеристик объекта, определению их действительных значений и оценкой экспертом соответствия их установленным требованиям и/или технической информации.</w:t>
      </w:r>
    </w:p>
    <w:p>
      <w:pPr>
        <w:pStyle w:val="A"/>
        <w:ind w:right="-1" w:firstLine="567"/>
        <w:rPr>
          <w:rFonts w:ascii="Times New Roman" w:hAnsi="Times New Roman" w:cs="Times New Roman"/>
        </w:rPr>
      </w:pPr>
      <w:r>
        <w:rPr>
          <w:rFonts w:cs="Times New Roman" w:ascii="Times New Roman" w:hAnsi="Times New Roman"/>
        </w:rPr>
      </w:r>
    </w:p>
    <w:p>
      <w:pPr>
        <w:pStyle w:val="Normal"/>
        <w:ind w:firstLine="567"/>
        <w:jc w:val="center"/>
        <w:rPr>
          <w:b/>
          <w:b/>
          <w:iCs/>
          <w:szCs w:val="22"/>
        </w:rPr>
      </w:pPr>
      <w:r>
        <w:rPr>
          <w:b/>
          <w:iCs/>
          <w:szCs w:val="22"/>
        </w:rPr>
        <w:t>Методика исследования лакокрасочного покрытия.</w:t>
      </w:r>
    </w:p>
    <w:p>
      <w:pPr>
        <w:pStyle w:val="Normal"/>
        <w:ind w:firstLine="567"/>
        <w:jc w:val="center"/>
        <w:rPr>
          <w:b/>
          <w:b/>
          <w:iCs/>
          <w:szCs w:val="22"/>
        </w:rPr>
      </w:pPr>
      <w:r>
        <w:rPr>
          <w:b/>
          <w:iCs/>
          <w:szCs w:val="22"/>
        </w:rPr>
      </w:r>
    </w:p>
    <w:p>
      <w:pPr>
        <w:pStyle w:val="Normal"/>
        <w:jc w:val="both"/>
        <w:rPr/>
      </w:pPr>
      <w:r>
        <w:rPr>
          <w:iCs/>
          <w:szCs w:val="22"/>
        </w:rPr>
        <w:tab/>
        <w:t>При осмотре и проверке технического состояния кузова автомобиля</w:t>
      </w:r>
      <w:r>
        <w:rPr/>
        <w:t xml:space="preserve"> MERCEDES-BENZ A200 идентификационный номер (VIN) *******, 2019 года выпуска, регистрационный знак ******* на первом этапе устанавливались признаки непромышленного (в условиях СТО) перекрашивания кузова автомобиля и его отдельных элементов.</w:t>
      </w:r>
    </w:p>
    <w:p>
      <w:pPr>
        <w:pStyle w:val="Normal"/>
        <w:jc w:val="both"/>
        <w:rPr/>
      </w:pPr>
      <w:r>
        <w:rPr/>
        <w:tab/>
        <w:t>На втором этапе органолептическим и инструментальным методом устанавливались недостатки лакокрасочного покрытия кузова автомобиля.</w:t>
      </w:r>
    </w:p>
    <w:p>
      <w:pPr>
        <w:pStyle w:val="Normal"/>
        <w:jc w:val="both"/>
        <w:rPr/>
      </w:pPr>
      <w:r>
        <w:rPr/>
        <w:tab/>
        <w:t xml:space="preserve">В соответствии с ГОСТ 9.032-74, ГОСТ 23852-79 лакокрасочные покрытия наружных поверхностей кузова легкового автомобиля относятся к высокоглянцевым покрытиям </w:t>
      </w:r>
      <w:r>
        <w:rPr>
          <w:lang w:val="en-US"/>
        </w:rPr>
        <w:t>I</w:t>
      </w:r>
      <w:r>
        <w:rPr/>
        <w:t xml:space="preserve"> класса.</w:t>
      </w:r>
    </w:p>
    <w:p>
      <w:pPr>
        <w:pStyle w:val="Normal"/>
        <w:jc w:val="both"/>
        <w:rPr/>
      </w:pPr>
      <w:r>
        <w:rPr/>
        <w:tab/>
        <w:t xml:space="preserve">Оценку причин возникновения недостатков лакокрасочных покрытий и возможности их отнести к числу существенных недостатков производят по внешнему виду лакокрасочного покрытия (сорность, кратеры, меление и т. д.) толщине, твердости и адгезии. В процессе эксплуатации адгезия и твердость лакокрасочного покрытия меняются по-разному, в зависимости от срока эксплуатации АТС. Проверка на адгезию и твердость не производится, т. к. относится к разрушающим методам оценки состояния лакокрасочного покрытия. </w:t>
      </w:r>
    </w:p>
    <w:p>
      <w:pPr>
        <w:pStyle w:val="Normal"/>
        <w:jc w:val="both"/>
        <w:rPr/>
      </w:pPr>
      <w:r>
        <w:rPr/>
        <w:tab/>
        <w:t>Наиболее распространенные недостатки внешнего вида лакокрасочных покрытий, которое могут возникнуть в процессе изготовления АТС, а также при его эксплуатации приведены в таблице.</w:t>
      </w:r>
    </w:p>
    <w:p>
      <w:pPr>
        <w:pStyle w:val="Normal"/>
        <w:spacing w:before="102" w:after="102"/>
        <w:jc w:val="right"/>
        <w:rPr>
          <w:bCs/>
          <w:sz w:val="22"/>
          <w:szCs w:val="22"/>
        </w:rPr>
      </w:pPr>
      <w:r>
        <w:rPr>
          <w:bCs/>
          <w:sz w:val="22"/>
          <w:szCs w:val="22"/>
        </w:rPr>
        <w:t>Таблица №5</w:t>
      </w:r>
    </w:p>
    <w:tbl>
      <w:tblPr>
        <w:tblW w:w="4900" w:type="pct"/>
        <w:jc w:val="left"/>
        <w:tblInd w:w="0" w:type="dxa"/>
        <w:tblBorders>
          <w:top w:val="single" w:sz="8" w:space="0" w:color="000000"/>
          <w:left w:val="single" w:sz="8" w:space="0" w:color="000000"/>
          <w:bottom w:val="single" w:sz="8" w:space="0" w:color="000000"/>
          <w:right w:val="single" w:sz="4" w:space="0" w:color="000000"/>
          <w:insideH w:val="single" w:sz="8"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792"/>
        <w:gridCol w:w="9348"/>
      </w:tblGrid>
      <w:tr>
        <w:trPr>
          <w:trHeight w:val="20" w:hRule="atLeast"/>
          <w:cantSplit w:val="true"/>
        </w:trPr>
        <w:tc>
          <w:tcPr>
            <w:tcW w:w="792" w:type="dxa"/>
            <w:tcBorders>
              <w:top w:val="single" w:sz="8" w:space="0" w:color="000000"/>
              <w:left w:val="single" w:sz="8" w:space="0" w:color="000000"/>
              <w:bottom w:val="single" w:sz="8" w:space="0" w:color="000000"/>
              <w:right w:val="single" w:sz="4" w:space="0" w:color="000000"/>
              <w:insideH w:val="single" w:sz="8" w:space="0" w:color="000000"/>
              <w:insideV w:val="single" w:sz="4" w:space="0" w:color="000000"/>
            </w:tcBorders>
            <w:shd w:color="auto" w:fill="FFF2CC" w:themeFill="accent4" w:themeFillTint="33" w:val="clear"/>
            <w:vAlign w:val="bottom"/>
          </w:tcPr>
          <w:p>
            <w:pPr>
              <w:pStyle w:val="Normal"/>
              <w:rPr>
                <w:b/>
                <w:b/>
                <w:bCs/>
                <w:sz w:val="22"/>
                <w:szCs w:val="22"/>
              </w:rPr>
            </w:pPr>
            <w:r>
              <w:rPr>
                <w:b/>
                <w:bCs/>
                <w:sz w:val="22"/>
                <w:szCs w:val="22"/>
              </w:rPr>
              <w:t>№</w:t>
            </w:r>
            <w:r>
              <w:rPr>
                <w:b/>
                <w:bCs/>
                <w:sz w:val="22"/>
                <w:szCs w:val="22"/>
              </w:rPr>
              <w:t>п/п</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bottom"/>
          </w:tcPr>
          <w:p>
            <w:pPr>
              <w:pStyle w:val="Normal"/>
              <w:jc w:val="center"/>
              <w:rPr>
                <w:b/>
                <w:b/>
                <w:bCs/>
                <w:sz w:val="22"/>
                <w:szCs w:val="22"/>
              </w:rPr>
            </w:pPr>
            <w:r>
              <w:rPr>
                <w:b/>
                <w:bCs/>
                <w:sz w:val="22"/>
                <w:szCs w:val="22"/>
              </w:rPr>
              <w:t>Наименование недостатков</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color w:val="FF0000"/>
                <w:sz w:val="22"/>
                <w:szCs w:val="22"/>
              </w:rPr>
            </w:pPr>
            <w:r>
              <w:rPr>
                <w:bCs/>
                <w:sz w:val="22"/>
                <w:szCs w:val="22"/>
              </w:rPr>
              <w:t>Отслоение (отслаивание) отделенных слоев лакокрасочного покрытия или покрытия от металла</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2</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Вздутие (вспучивание), отслоение лакокрасочного покрытия в виде закрытых пузырьков правильной формы</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3</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Сорность</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4</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Кратеры</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5</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Матовые пятна</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6</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Непрокрас</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7</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Меление</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8</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Опыление</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9</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Разнооттеночность</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10</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Потеки</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11</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Наплывы</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12</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Шагрень</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13</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Риски, штрихи</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14</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Следы ударов, вмятин, трещин, сколов, царапин</w:t>
            </w:r>
          </w:p>
        </w:tc>
      </w:tr>
      <w:tr>
        <w:trPr>
          <w:trHeight w:val="20" w:hRule="atLeast"/>
          <w:cantSplit w:val="true"/>
        </w:trPr>
        <w:tc>
          <w:tcPr>
            <w:tcW w:w="792" w:type="dxa"/>
            <w:tcBorders>
              <w:left w:val="single" w:sz="8" w:space="0" w:color="000000"/>
              <w:bottom w:val="single" w:sz="8" w:space="0" w:color="000000"/>
              <w:right w:val="single" w:sz="4" w:space="0" w:color="000000"/>
              <w:insideH w:val="single" w:sz="8" w:space="0" w:color="000000"/>
              <w:insideV w:val="single" w:sz="4" w:space="0" w:color="000000"/>
            </w:tcBorders>
            <w:shd w:fill="auto" w:val="clear"/>
            <w:vAlign w:val="bottom"/>
          </w:tcPr>
          <w:p>
            <w:pPr>
              <w:pStyle w:val="Normal"/>
              <w:rPr>
                <w:sz w:val="22"/>
                <w:szCs w:val="22"/>
              </w:rPr>
            </w:pPr>
            <w:r>
              <w:rPr>
                <w:sz w:val="22"/>
                <w:szCs w:val="22"/>
              </w:rPr>
              <w:t>15</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Сыпь (наносная коррозия) в виде рыжих точек преимущественно не горизонтальных поверхностях кузова</w:t>
            </w:r>
          </w:p>
        </w:tc>
      </w:tr>
      <w:tr>
        <w:trPr>
          <w:trHeight w:val="20" w:hRule="atLeast"/>
          <w:cantSplit w:val="true"/>
        </w:trPr>
        <w:tc>
          <w:tcPr>
            <w:tcW w:w="792" w:type="dxa"/>
            <w:tcBorders>
              <w:left w:val="single" w:sz="8"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16</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Коррозия кузова в отдельных местах вследствие сколов лакокрасочного покрытия (эксплуатационные недостатки)</w:t>
            </w:r>
          </w:p>
        </w:tc>
      </w:tr>
      <w:tr>
        <w:trPr>
          <w:trHeight w:val="20" w:hRule="atLeast"/>
          <w:cantSplit w:val="true"/>
        </w:trPr>
        <w:tc>
          <w:tcPr>
            <w:tcW w:w="7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17</w:t>
            </w:r>
          </w:p>
        </w:tc>
        <w:tc>
          <w:tcPr>
            <w:tcW w:w="9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sz w:val="22"/>
                <w:szCs w:val="22"/>
              </w:rPr>
            </w:pPr>
            <w:r>
              <w:rPr>
                <w:sz w:val="22"/>
                <w:szCs w:val="22"/>
              </w:rPr>
              <w:t>Косметическая коррозия на наружных поверхностях кузова, в том числе по кромкам сварных швов</w:t>
            </w:r>
          </w:p>
        </w:tc>
      </w:tr>
    </w:tbl>
    <w:p>
      <w:pPr>
        <w:pStyle w:val="Normal"/>
        <w:rPr>
          <w:iCs/>
          <w:szCs w:val="22"/>
        </w:rPr>
      </w:pPr>
      <w:r>
        <w:rPr>
          <w:iCs/>
          <w:szCs w:val="22"/>
        </w:rPr>
      </w:r>
    </w:p>
    <w:p>
      <w:pPr>
        <w:pStyle w:val="Normal"/>
        <w:ind w:firstLine="708"/>
        <w:jc w:val="both"/>
        <w:rPr>
          <w:iCs/>
          <w:szCs w:val="22"/>
        </w:rPr>
      </w:pPr>
      <w:r>
        <w:rPr>
          <w:iCs/>
          <w:szCs w:val="22"/>
        </w:rPr>
        <w:t>Недостатки, указанные в п.п. 1-2 – без наличия следов механического воздействия, и 3-13, являются производственными, 14-17 – эксплуатационными. Повреждения лакокрасочного покрытия- сколы, царапины, трещины и т. п., образовавшиеся в процессе эксплуатации АТС (эксплуатационные недостатки).</w:t>
      </w:r>
    </w:p>
    <w:p>
      <w:pPr>
        <w:pStyle w:val="Normal"/>
        <w:jc w:val="both"/>
        <w:rPr>
          <w:iCs/>
          <w:szCs w:val="22"/>
        </w:rPr>
      </w:pPr>
      <w:r>
        <w:rPr>
          <w:iCs/>
          <w:szCs w:val="22"/>
        </w:rPr>
        <w:tab/>
        <w:t>Согласно ГОСТ 9.032-74 Покрытие лакокрасочные. Группы, технические требования и обозначения на глянцевых и высокоглянцевых покрытиях, относящиеся к первому классу, включения (сорности), шагрень, потеки, штрихи, риски, волнистость и разнооттеночность не допускаются.</w:t>
      </w:r>
    </w:p>
    <w:p>
      <w:pPr>
        <w:pStyle w:val="Normal"/>
        <w:ind w:left="709" w:hanging="0"/>
        <w:jc w:val="center"/>
        <w:rPr>
          <w:b/>
          <w:b/>
        </w:rPr>
      </w:pPr>
      <w:r>
        <w:rPr>
          <w:b/>
        </w:rPr>
      </w:r>
    </w:p>
    <w:p>
      <w:pPr>
        <w:pStyle w:val="Normal"/>
        <w:jc w:val="center"/>
        <w:rPr>
          <w:b/>
          <w:b/>
        </w:rPr>
      </w:pPr>
      <w:r>
        <w:rPr>
          <w:b/>
        </w:rPr>
        <w:t>Осмотр транспортного средства</w:t>
      </w:r>
    </w:p>
    <w:p>
      <w:pPr>
        <w:pStyle w:val="Normal"/>
        <w:ind w:firstLine="567"/>
        <w:jc w:val="both"/>
        <w:rPr>
          <w:rFonts w:ascii="Arial Narrow" w:hAnsi="Arial Narrow" w:cs="Arial"/>
        </w:rPr>
      </w:pPr>
      <w:r>
        <w:rPr>
          <w:rFonts w:cs="Arial" w:ascii="Arial Narrow" w:hAnsi="Arial Narrow"/>
        </w:rPr>
      </w:r>
    </w:p>
    <w:p>
      <w:pPr>
        <w:pStyle w:val="Normal"/>
        <w:ind w:firstLine="567"/>
        <w:jc w:val="both"/>
        <w:rPr/>
      </w:pPr>
      <w:r>
        <w:rPr/>
        <w:t xml:space="preserve">03 апреля 2023 года по адресу: г. Москва, ул. Мытная, д. 23, к. 1 на ровной горизонтальной площадке при естественном освещении и на территории СТОА (ИП Лобков Андрей Евгеньевич) при  искусственном освещении, с применением измерительной линейки (ГОСТ 427-75), масштабной линейки, электронно-цифрового фотоаппарата </w:t>
      </w:r>
      <w:r>
        <w:rPr>
          <w:rFonts w:eastAsia="№Е"/>
          <w:szCs w:val="22"/>
          <w:lang w:val="en-US"/>
        </w:rPr>
        <w:t>Samsung</w:t>
      </w:r>
      <w:r>
        <w:rPr>
          <w:rFonts w:eastAsia="№Е"/>
          <w:szCs w:val="22"/>
        </w:rPr>
        <w:t xml:space="preserve"> </w:t>
      </w:r>
      <w:r>
        <w:rPr>
          <w:rFonts w:eastAsia="№Е"/>
          <w:szCs w:val="22"/>
          <w:lang w:val="en-US"/>
        </w:rPr>
        <w:t>Galaxy</w:t>
      </w:r>
      <w:r>
        <w:rPr>
          <w:rFonts w:eastAsia="№Е"/>
          <w:szCs w:val="22"/>
        </w:rPr>
        <w:t xml:space="preserve"> </w:t>
      </w:r>
      <w:r>
        <w:rPr>
          <w:rFonts w:eastAsia="№Е"/>
          <w:szCs w:val="22"/>
          <w:lang w:val="en-US"/>
        </w:rPr>
        <w:t>Note</w:t>
      </w:r>
      <w:r>
        <w:rPr>
          <w:rFonts w:eastAsia="№Е"/>
          <w:szCs w:val="22"/>
        </w:rPr>
        <w:t xml:space="preserve"> 20 </w:t>
      </w:r>
      <w:r>
        <w:rPr>
          <w:rFonts w:eastAsia="№Е"/>
          <w:szCs w:val="22"/>
          <w:lang w:val="en-US"/>
        </w:rPr>
        <w:t>Ultra</w:t>
      </w:r>
      <w:r>
        <w:rPr/>
        <w:t xml:space="preserve">, электромагнитного толщиномера лакокрасочных покрытий </w:t>
      </w:r>
      <w:r>
        <w:rPr>
          <w:lang w:val="en-US"/>
        </w:rPr>
        <w:t>rDevice</w:t>
      </w:r>
      <w:r>
        <w:rPr/>
        <w:t xml:space="preserve"> </w:t>
      </w:r>
      <w:r>
        <w:rPr>
          <w:lang w:val="en-US"/>
        </w:rPr>
        <w:t>RD</w:t>
      </w:r>
      <w:r>
        <w:rPr/>
        <w:t xml:space="preserve"> 975 </w:t>
      </w:r>
      <w:r>
        <w:rPr>
          <w:lang w:val="en-US"/>
        </w:rPr>
        <w:t>FN</w:t>
      </w:r>
      <w:r>
        <w:rPr/>
        <w:t xml:space="preserve"> + </w:t>
      </w:r>
      <w:r>
        <w:rPr>
          <w:lang w:val="en-US"/>
        </w:rPr>
        <w:t>Zinc</w:t>
      </w:r>
      <w:r>
        <w:rPr/>
        <w:t xml:space="preserve"> </w:t>
      </w:r>
      <w:r>
        <w:rPr>
          <w:lang w:val="en-US"/>
        </w:rPr>
        <w:t>S</w:t>
      </w:r>
      <w:r>
        <w:rPr/>
        <w:t>/</w:t>
      </w:r>
      <w:r>
        <w:rPr>
          <w:lang w:val="en-US"/>
        </w:rPr>
        <w:t>N</w:t>
      </w:r>
      <w:r>
        <w:rPr/>
        <w:t>: 2112</w:t>
      </w:r>
      <w:r>
        <w:rPr>
          <w:lang w:val="en-US"/>
        </w:rPr>
        <w:t>EC</w:t>
      </w:r>
      <w:r>
        <w:rPr/>
        <w:t xml:space="preserve">437392, был произведен осмотр автомобиля </w:t>
      </w:r>
      <w:r>
        <w:rPr>
          <w:lang w:val="en-US"/>
        </w:rPr>
        <w:t>MERCEDES</w:t>
      </w:r>
      <w:r>
        <w:rPr/>
        <w:t>-</w:t>
      </w:r>
      <w:r>
        <w:rPr>
          <w:lang w:val="en-US"/>
        </w:rPr>
        <w:t>BENZ</w:t>
      </w:r>
      <w:r>
        <w:rPr/>
        <w:t xml:space="preserve"> </w:t>
      </w:r>
      <w:r>
        <w:rPr>
          <w:lang w:val="en-US"/>
        </w:rPr>
        <w:t>A</w:t>
      </w:r>
      <w:r>
        <w:rPr/>
        <w:t xml:space="preserve">200, идентификационный номер (VIN) *******, 2019 года выпуска, регистрационный знак *******. Осмотр производился органолептическим и инструментальным методом с проведением разборо-сборочных работ. Пробег автомобиля на момент осмотра составлял: </w:t>
      </w:r>
      <w:r>
        <w:rPr>
          <w:color w:val="000000"/>
        </w:rPr>
        <w:t xml:space="preserve">23951 км. (Фото 6)  </w:t>
      </w:r>
    </w:p>
    <w:p>
      <w:pPr>
        <w:pStyle w:val="Normal"/>
        <w:spacing w:before="0" w:after="120"/>
        <w:ind w:firstLine="709"/>
        <w:rPr/>
      </w:pPr>
      <w:r>
        <w:rPr/>
        <w:t>Начало осмотра в 09:00, окончание 14:00.</w:t>
      </w:r>
    </w:p>
    <w:p>
      <w:pPr>
        <w:pStyle w:val="Normal"/>
        <w:ind w:left="1429" w:hanging="0"/>
        <w:rPr/>
      </w:pPr>
      <w:r>
        <w:rPr/>
      </w:r>
    </w:p>
    <w:p>
      <w:pPr>
        <w:pStyle w:val="Normal"/>
        <w:jc w:val="center"/>
        <w:rPr>
          <w:b/>
          <w:b/>
          <w:sz w:val="28"/>
          <w:szCs w:val="28"/>
        </w:rPr>
      </w:pPr>
      <w:r>
        <w:rPr>
          <w:b/>
          <w:sz w:val="28"/>
          <w:szCs w:val="28"/>
        </w:rPr>
        <w:t>При внешнем осмотре установлено:</w:t>
      </w:r>
    </w:p>
    <w:p>
      <w:pPr>
        <w:pStyle w:val="Normal"/>
        <w:jc w:val="center"/>
        <w:rPr>
          <w:b/>
          <w:b/>
          <w:sz w:val="28"/>
          <w:szCs w:val="28"/>
        </w:rPr>
      </w:pPr>
      <w:r>
        <w:rPr>
          <w:b/>
          <w:sz w:val="28"/>
          <w:szCs w:val="28"/>
        </w:rPr>
      </w:r>
    </w:p>
    <w:p>
      <w:pPr>
        <w:pStyle w:val="Normal"/>
        <w:ind w:firstLine="567"/>
        <w:jc w:val="both"/>
        <w:rPr/>
      </w:pPr>
      <w:r>
        <w:rPr/>
        <w:t>Внешний вид ТС MERCEDES-BENZ A200, его номерные регистрационные знаки, идентификационный номер полностью идентифицированы (фото 1-8) и соответствую предоставленным на экспертизу документам (фото 9-10).</w:t>
      </w:r>
    </w:p>
    <w:p>
      <w:pPr>
        <w:pStyle w:val="Normal"/>
        <w:jc w:val="center"/>
        <w:rPr>
          <w:b/>
          <w:b/>
          <w:sz w:val="28"/>
          <w:szCs w:val="28"/>
          <w:u w:val="single"/>
        </w:rPr>
      </w:pPr>
      <w:r>
        <w:rPr/>
      </w:r>
      <w:r>
        <w:br w:type="page"/>
      </w:r>
    </w:p>
    <w:p>
      <w:pPr>
        <w:pStyle w:val="Normal"/>
        <w:jc w:val="center"/>
        <w:rPr/>
      </w:pPr>
      <w:r>
        <w:rPr>
          <w:b/>
          <w:sz w:val="28"/>
          <w:szCs w:val="28"/>
          <w:u w:val="single"/>
        </w:rPr>
        <w:t>Исследовательская часть по вопросу №1</w:t>
      </w:r>
    </w:p>
    <w:p>
      <w:pPr>
        <w:pStyle w:val="Normal"/>
        <w:jc w:val="center"/>
        <w:rPr>
          <w:u w:val="single"/>
        </w:rPr>
      </w:pPr>
      <w:r>
        <w:rPr>
          <w:u w:val="single"/>
        </w:rPr>
      </w:r>
    </w:p>
    <w:p>
      <w:pPr>
        <w:pStyle w:val="Normal"/>
        <w:jc w:val="center"/>
        <w:rPr>
          <w:u w:val="single"/>
        </w:rPr>
      </w:pPr>
      <w:r>
        <w:rPr>
          <w:u w:val="single"/>
        </w:rPr>
      </w:r>
    </w:p>
    <w:p>
      <w:pPr>
        <w:pStyle w:val="Normal"/>
        <w:ind w:right="-84" w:firstLine="567"/>
        <w:jc w:val="both"/>
        <w:rPr/>
      </w:pPr>
      <w:r>
        <w:rPr>
          <w:b/>
        </w:rPr>
        <w:t xml:space="preserve">Вопрос №1 </w:t>
      </w:r>
      <w:r>
        <w:rPr/>
        <w:t xml:space="preserve">Имеются ли недостатки/дефекты восстановительного ремонта, в результате выполненных работ на СТОА ООО «КСО МОТОРС» по направлению на ремонт 195483/22 ООО «СК «Согласие», на автомобиле </w:t>
      </w:r>
      <w:r>
        <w:rPr>
          <w:lang w:val="en-US"/>
        </w:rPr>
        <w:t>MERCEDES</w:t>
      </w:r>
      <w:r>
        <w:rPr/>
        <w:t>-</w:t>
      </w:r>
      <w:r>
        <w:rPr>
          <w:lang w:val="en-US"/>
        </w:rPr>
        <w:t>BENZ</w:t>
      </w:r>
      <w:r>
        <w:rPr/>
        <w:t xml:space="preserve"> </w:t>
      </w:r>
      <w:r>
        <w:rPr>
          <w:lang w:val="en-US"/>
        </w:rPr>
        <w:t>A</w:t>
      </w:r>
      <w:r>
        <w:rPr/>
        <w:t>200, идентификационный номер (VIN) *******, 2019 года выпуска, регистрационный знак *******</w:t>
      </w:r>
    </w:p>
    <w:p>
      <w:pPr>
        <w:pStyle w:val="Normal"/>
        <w:ind w:right="-84" w:firstLine="708"/>
        <w:jc w:val="both"/>
        <w:rPr>
          <w:b/>
          <w:b/>
        </w:rPr>
      </w:pPr>
      <w:r>
        <w:rPr>
          <w:b/>
        </w:rPr>
      </w:r>
    </w:p>
    <w:p>
      <w:pPr>
        <w:pStyle w:val="Normal"/>
        <w:ind w:right="54" w:firstLine="567"/>
        <w:jc w:val="both"/>
        <w:rPr/>
      </w:pPr>
      <w:r>
        <w:rPr>
          <w:rFonts w:cs="Arial CYR"/>
          <w:bCs/>
        </w:rPr>
        <w:t xml:space="preserve">По информации полученной от собственника, после произошедшего ДТП от 25.09.2022г., автомобиль </w:t>
      </w:r>
      <w:r>
        <w:rPr>
          <w:lang w:val="en-US"/>
        </w:rPr>
        <w:t>MERCEDES</w:t>
      </w:r>
      <w:r>
        <w:rPr/>
        <w:t>-</w:t>
      </w:r>
      <w:r>
        <w:rPr>
          <w:lang w:val="en-US"/>
        </w:rPr>
        <w:t>BENZ</w:t>
      </w:r>
      <w:r>
        <w:rPr/>
        <w:t xml:space="preserve"> </w:t>
      </w:r>
      <w:r>
        <w:rPr>
          <w:lang w:val="en-US"/>
        </w:rPr>
        <w:t>A</w:t>
      </w:r>
      <w:r>
        <w:rPr/>
        <w:t>200, идентификационный номер (VIN) *******, 2019 года выпуска, регистрационный знак *******,</w:t>
      </w:r>
      <w:r>
        <w:rPr>
          <w:rFonts w:cs="Arial CYR"/>
          <w:bCs/>
        </w:rPr>
        <w:t xml:space="preserve"> согласно полису добровольного страхования транспортного средства (серия 0079210 № 202855058/21-ТФ </w:t>
      </w:r>
      <w:r>
        <w:rPr/>
        <w:t>ООО «СК «Согласие»)</w:t>
      </w:r>
      <w:r>
        <w:rPr>
          <w:rFonts w:cs="Arial CYR"/>
          <w:bCs/>
        </w:rPr>
        <w:t xml:space="preserve">, был направлен на осмотр на </w:t>
      </w:r>
      <w:r>
        <w:rPr/>
        <w:t>СТОА ООО «КСО МОТОРС» 30 сентября 2022 г.</w:t>
      </w:r>
    </w:p>
    <w:p>
      <w:pPr>
        <w:pStyle w:val="Normal"/>
        <w:ind w:right="54" w:firstLine="567"/>
        <w:jc w:val="both"/>
        <w:rPr/>
      </w:pPr>
      <w:r>
        <w:rPr/>
        <w:t>По результатам рассмотрения документов ООО «СК «Согласие» составлен акт осмотра №195483/22 (Иллюстрация №1-2) и выдано направление на ремонт на СТОА ООО «КСО МОТОРС».</w:t>
      </w:r>
    </w:p>
    <w:p>
      <w:pPr>
        <w:pStyle w:val="Normal"/>
        <w:ind w:right="54" w:firstLine="567"/>
        <w:jc w:val="both"/>
        <w:rPr>
          <w:sz w:val="22"/>
          <w:szCs w:val="22"/>
        </w:rPr>
      </w:pPr>
      <w:r>
        <w:rPr>
          <w:rFonts w:cs="Arial CYR"/>
          <w:bCs/>
        </w:rPr>
        <w:t xml:space="preserve">06.01.2023 г. автомобиль </w:t>
      </w:r>
      <w:r>
        <w:rPr>
          <w:lang w:val="en-US"/>
        </w:rPr>
        <w:t>MERCEDES</w:t>
      </w:r>
      <w:r>
        <w:rPr/>
        <w:t>-</w:t>
      </w:r>
      <w:r>
        <w:rPr>
          <w:lang w:val="en-US"/>
        </w:rPr>
        <w:t>BENZ</w:t>
      </w:r>
      <w:r>
        <w:rPr/>
        <w:t xml:space="preserve"> </w:t>
      </w:r>
      <w:r>
        <w:rPr>
          <w:lang w:val="en-US"/>
        </w:rPr>
        <w:t>A</w:t>
      </w:r>
      <w:r>
        <w:rPr/>
        <w:t xml:space="preserve">200, идентификационный номер (VIN) *******, 2019 года выпуска, регистрационный знак ******* </w:t>
      </w:r>
      <w:r>
        <w:rPr>
          <w:rFonts w:cs="Arial CYR"/>
          <w:bCs/>
        </w:rPr>
        <w:t>был принят собственником, после проведения восстановительного ремонта в ООО «КСО МОТОРС»</w:t>
      </w:r>
      <w:r>
        <w:rPr/>
        <w:t xml:space="preserve"> по направлению на ремонт 195483/22 ООО «СК «Согласие». Собственником при приеме автомобиля выявлены дефекты/недостатки и составлены замечания (Иллюстрация №3).</w:t>
      </w:r>
    </w:p>
    <w:p>
      <w:pPr>
        <w:pStyle w:val="Normal"/>
        <w:jc w:val="center"/>
        <w:rPr>
          <w:sz w:val="22"/>
          <w:szCs w:val="22"/>
        </w:rPr>
      </w:pPr>
      <w:r>
        <w:rPr>
          <w:sz w:val="22"/>
          <w:szCs w:val="22"/>
        </w:rPr>
      </w:r>
    </w:p>
    <w:p>
      <w:pPr>
        <w:pStyle w:val="Normal"/>
        <w:jc w:val="center"/>
        <w:rPr>
          <w:u w:val="single"/>
        </w:rPr>
      </w:pPr>
      <w:r>
        <w:rPr>
          <w:u w:val="single"/>
        </w:rPr>
      </w:r>
    </w:p>
    <w:p>
      <w:pPr>
        <w:pStyle w:val="Normal"/>
        <w:jc w:val="center"/>
        <w:rPr>
          <w:sz w:val="22"/>
          <w:szCs w:val="22"/>
        </w:rPr>
      </w:pPr>
      <w:r>
        <w:rPr>
          <w:sz w:val="22"/>
          <w:szCs w:val="22"/>
        </w:rPr>
      </w:r>
    </w:p>
    <w:p>
      <w:pPr>
        <w:pStyle w:val="ListParagraph"/>
        <w:numPr>
          <w:ilvl w:val="0"/>
          <w:numId w:val="4"/>
        </w:numPr>
        <w:ind w:left="0" w:hanging="360"/>
        <w:jc w:val="both"/>
        <w:rPr>
          <w:b/>
          <w:b/>
          <w:sz w:val="24"/>
          <w:szCs w:val="24"/>
          <w:lang w:val="ru-RU"/>
        </w:rPr>
      </w:pPr>
      <w:r>
        <w:rPr>
          <w:b/>
          <w:iCs/>
          <w:sz w:val="24"/>
          <w:szCs w:val="24"/>
          <w:lang w:val="ru-RU"/>
        </w:rPr>
        <w:t xml:space="preserve">При анализе выполненных работ, проведенных в соответствии с Актом осмотра № 195483/22 составленном ООО «СК «Согласие», с фактически выполненными работами выявлены недостатки/дефекты, а также не соответствие. </w:t>
      </w:r>
    </w:p>
    <w:p>
      <w:pPr>
        <w:pStyle w:val="ListParagraph"/>
        <w:ind w:left="0" w:hanging="0"/>
        <w:jc w:val="both"/>
        <w:rPr>
          <w:b/>
          <w:b/>
          <w:sz w:val="24"/>
          <w:szCs w:val="24"/>
          <w:lang w:val="ru-RU"/>
        </w:rPr>
      </w:pPr>
      <w:r>
        <w:rPr>
          <w:b/>
          <w:iCs/>
          <w:sz w:val="24"/>
          <w:szCs w:val="24"/>
          <w:lang w:val="ru-RU"/>
        </w:rPr>
        <w:t>Результаты исследования сведены в таблицу №6.</w:t>
      </w:r>
    </w:p>
    <w:p>
      <w:pPr>
        <w:pStyle w:val="ListParagraph"/>
        <w:ind w:left="720" w:right="-84" w:hanging="0"/>
        <w:jc w:val="center"/>
        <w:rPr>
          <w:sz w:val="22"/>
          <w:szCs w:val="22"/>
          <w:lang w:val="ru-RU" w:eastAsia="ru-RU"/>
        </w:rPr>
      </w:pPr>
      <w:r>
        <w:rPr>
          <w:sz w:val="22"/>
          <w:szCs w:val="22"/>
          <w:lang w:val="ru-RU" w:eastAsia="ru-RU"/>
        </w:rPr>
      </w:r>
    </w:p>
    <w:p>
      <w:pPr>
        <w:pStyle w:val="Normal"/>
        <w:jc w:val="right"/>
        <w:rPr>
          <w:iCs/>
        </w:rPr>
      </w:pPr>
      <w:r>
        <w:rPr>
          <w:iCs/>
        </w:rPr>
        <w:t>Таблица №6</w:t>
      </w:r>
    </w:p>
    <w:tbl>
      <w:tblPr>
        <w:tblW w:w="1034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noVBand="1" w:noHBand="0" w:lastColumn="0" w:firstColumn="1" w:lastRow="0" w:firstRow="1"/>
      </w:tblPr>
      <w:tblGrid>
        <w:gridCol w:w="577"/>
        <w:gridCol w:w="1403"/>
        <w:gridCol w:w="2126"/>
        <w:gridCol w:w="4393"/>
        <w:gridCol w:w="1844"/>
      </w:tblGrid>
      <w:tr>
        <w:trPr>
          <w:trHeight w:val="20" w:hRule="atLeast"/>
        </w:trPr>
        <w:tc>
          <w:tcPr>
            <w:tcW w:w="5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Normal"/>
              <w:jc w:val="center"/>
              <w:rPr>
                <w:color w:val="000000"/>
                <w:sz w:val="20"/>
                <w:szCs w:val="20"/>
              </w:rPr>
            </w:pPr>
            <w:r>
              <w:rPr>
                <w:color w:val="000000"/>
                <w:sz w:val="20"/>
                <w:szCs w:val="20"/>
              </w:rPr>
              <w:t>№№</w:t>
            </w:r>
          </w:p>
        </w:tc>
        <w:tc>
          <w:tcPr>
            <w:tcW w:w="1403" w:type="dxa"/>
            <w:tcBorders>
              <w:top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Normal"/>
              <w:jc w:val="center"/>
              <w:rPr>
                <w:color w:val="000000"/>
                <w:sz w:val="20"/>
                <w:szCs w:val="20"/>
              </w:rPr>
            </w:pPr>
            <w:r>
              <w:rPr>
                <w:color w:val="000000"/>
                <w:sz w:val="20"/>
                <w:szCs w:val="20"/>
              </w:rPr>
              <w:t>Наименование детали/работ</w:t>
            </w:r>
          </w:p>
        </w:tc>
        <w:tc>
          <w:tcPr>
            <w:tcW w:w="2126" w:type="dxa"/>
            <w:tcBorders>
              <w:top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Normal"/>
              <w:jc w:val="center"/>
              <w:rPr>
                <w:color w:val="000000"/>
                <w:sz w:val="20"/>
                <w:szCs w:val="20"/>
              </w:rPr>
            </w:pPr>
            <w:r>
              <w:rPr>
                <w:color w:val="000000"/>
                <w:sz w:val="20"/>
                <w:szCs w:val="20"/>
              </w:rPr>
              <w:t>Ремонтное воздействие на деталь/работы в соответствии с Актом осмотра №195483/22, составленном ООО «СК «Согласие»</w:t>
            </w:r>
          </w:p>
        </w:tc>
        <w:tc>
          <w:tcPr>
            <w:tcW w:w="4393" w:type="dxa"/>
            <w:tcBorders>
              <w:top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Normal"/>
              <w:jc w:val="center"/>
              <w:rPr>
                <w:color w:val="000000"/>
                <w:sz w:val="20"/>
                <w:szCs w:val="20"/>
              </w:rPr>
            </w:pPr>
            <w:r>
              <w:rPr>
                <w:color w:val="000000"/>
                <w:sz w:val="20"/>
                <w:szCs w:val="20"/>
              </w:rPr>
              <w:t>Заключение специалиста (независимого эксперта) ООО «КВ-ТЕХНО» по фактически выполненным работам и выявленным недостаткам/дефектам</w:t>
            </w:r>
          </w:p>
        </w:tc>
        <w:tc>
          <w:tcPr>
            <w:tcW w:w="1844" w:type="dxa"/>
            <w:tcBorders>
              <w:top w:val="single" w:sz="4" w:space="0" w:color="000000"/>
              <w:bottom w:val="single" w:sz="4" w:space="0" w:color="000000"/>
              <w:right w:val="single" w:sz="4" w:space="0" w:color="000000"/>
              <w:insideH w:val="single" w:sz="4" w:space="0" w:color="000000"/>
              <w:insideV w:val="single" w:sz="4" w:space="0" w:color="000000"/>
            </w:tcBorders>
            <w:shd w:color="auto" w:fill="FFF2CC" w:themeFill="accent4" w:themeFillTint="33" w:val="clear"/>
            <w:vAlign w:val="center"/>
          </w:tcPr>
          <w:p>
            <w:pPr>
              <w:pStyle w:val="Normal"/>
              <w:jc w:val="center"/>
              <w:rPr>
                <w:color w:val="000000"/>
                <w:sz w:val="20"/>
                <w:szCs w:val="20"/>
              </w:rPr>
            </w:pPr>
            <w:r>
              <w:rPr>
                <w:color w:val="000000"/>
                <w:sz w:val="20"/>
                <w:szCs w:val="20"/>
              </w:rPr>
              <w:t>Примечание</w:t>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1</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Бампер передний</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Замена + окраска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В левой части имеется в области фары имеется шагрень, имеется шагрень в нижней части. В нижней части имеется подтек лакокрасочного покрытия в виде застывшей капли.</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№11-14</w:t>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2</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 xml:space="preserve">Фара левая </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Замена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Фара правая имеет следы восстановительного ремонта в виде паяния корпуса фары и кронштейна. На фаре имеется маркировка даты выпуска (март 2018 года).</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№15-18</w:t>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3</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Крыло переднее левое</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Замена + окраска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Согласно исследованию толщины ЛКП, данная деталь подвергалась замене и установлена бывшая в употреблении. Во внутренней части имеется следы предыдущего слоя ЛКП в виде красной краски</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№19-22</w:t>
            </w:r>
          </w:p>
          <w:p>
            <w:pPr>
              <w:pStyle w:val="Normal"/>
              <w:jc w:val="center"/>
              <w:rPr>
                <w:color w:val="000000"/>
                <w:sz w:val="20"/>
                <w:szCs w:val="20"/>
              </w:rPr>
            </w:pPr>
            <w:r>
              <w:rPr>
                <w:color w:val="000000"/>
                <w:sz w:val="20"/>
                <w:szCs w:val="20"/>
              </w:rPr>
              <w:t>см. фото №37-41</w:t>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4</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Подкрылок передний левый</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Замена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По визуальному осмотру имеются следы длительной эксплуатации, вероятно данная деталь не заменена .</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№23-24</w:t>
            </w:r>
          </w:p>
          <w:p>
            <w:pPr>
              <w:pStyle w:val="Normal"/>
              <w:jc w:val="center"/>
              <w:rPr>
                <w:color w:val="000000"/>
                <w:sz w:val="20"/>
                <w:szCs w:val="20"/>
              </w:rPr>
            </w:pPr>
            <w:r>
              <w:rPr>
                <w:color w:val="000000"/>
                <w:sz w:val="20"/>
                <w:szCs w:val="20"/>
              </w:rPr>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5</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 xml:space="preserve">Дверь передняя левая </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Ремонт 1,5 н/ч + окраска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В задней части имеется подтек лакокрасочного покрытия</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№25-26</w:t>
            </w:r>
          </w:p>
          <w:p>
            <w:pPr>
              <w:pStyle w:val="Normal"/>
              <w:jc w:val="center"/>
              <w:rPr>
                <w:color w:val="000000"/>
                <w:sz w:val="20"/>
                <w:szCs w:val="20"/>
              </w:rPr>
            </w:pPr>
            <w:r>
              <w:rPr>
                <w:color w:val="000000"/>
                <w:sz w:val="20"/>
                <w:szCs w:val="20"/>
              </w:rPr>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6</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 xml:space="preserve">Диск передний левый </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Окраска</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По визуальному осмотру имеются следы длительной эксплуатации, слой ЛКП соответствует хронологическому возрасту, имеется царапины.</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№27-28</w:t>
            </w:r>
          </w:p>
          <w:p>
            <w:pPr>
              <w:pStyle w:val="Normal"/>
              <w:jc w:val="center"/>
              <w:rPr>
                <w:color w:val="000000"/>
                <w:sz w:val="20"/>
                <w:szCs w:val="20"/>
              </w:rPr>
            </w:pPr>
            <w:r>
              <w:rPr>
                <w:color w:val="000000"/>
                <w:sz w:val="20"/>
                <w:szCs w:val="20"/>
              </w:rPr>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lang w:val="en-US"/>
              </w:rPr>
            </w:pPr>
            <w:r>
              <w:rPr>
                <w:color w:val="000000"/>
                <w:sz w:val="20"/>
                <w:szCs w:val="20"/>
                <w:lang w:val="en-US"/>
              </w:rPr>
              <w:t>7</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 xml:space="preserve">Дверь задняя левая </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Согласно исследованию толщины ЛКП, данная деталь подвергалась окраске. В передней части подтек лакокрасочного покрытия, имеется шагрень в центральной части.</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№29-30</w:t>
            </w:r>
          </w:p>
          <w:p>
            <w:pPr>
              <w:pStyle w:val="Normal"/>
              <w:jc w:val="center"/>
              <w:rPr>
                <w:color w:val="000000"/>
                <w:sz w:val="20"/>
                <w:szCs w:val="20"/>
              </w:rPr>
            </w:pPr>
            <w:r>
              <w:rPr>
                <w:color w:val="000000"/>
                <w:sz w:val="20"/>
                <w:szCs w:val="20"/>
              </w:rPr>
              <w:t>см. фото №42-46</w:t>
            </w:r>
          </w:p>
        </w:tc>
      </w:tr>
      <w:tr>
        <w:trPr>
          <w:trHeight w:val="20" w:hRule="atLeast"/>
        </w:trPr>
        <w:tc>
          <w:tcPr>
            <w:tcW w:w="57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8</w:t>
            </w:r>
          </w:p>
        </w:tc>
        <w:tc>
          <w:tcPr>
            <w:tcW w:w="140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Абсорбер переднего бампера</w:t>
            </w:r>
          </w:p>
        </w:tc>
        <w:tc>
          <w:tcPr>
            <w:tcW w:w="2126"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4393"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Имеется разрыв материала в левой части</w:t>
            </w:r>
          </w:p>
        </w:tc>
        <w:tc>
          <w:tcPr>
            <w:tcW w:w="1844"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000000"/>
                <w:sz w:val="20"/>
                <w:szCs w:val="20"/>
              </w:rPr>
            </w:pPr>
            <w:r>
              <w:rPr>
                <w:color w:val="000000"/>
                <w:sz w:val="20"/>
                <w:szCs w:val="20"/>
              </w:rPr>
              <w:t>см. фото №31</w:t>
            </w:r>
          </w:p>
          <w:p>
            <w:pPr>
              <w:pStyle w:val="Normal"/>
              <w:jc w:val="center"/>
              <w:rPr>
                <w:color w:val="000000"/>
                <w:sz w:val="20"/>
                <w:szCs w:val="20"/>
              </w:rPr>
            </w:pPr>
            <w:r>
              <w:rPr>
                <w:color w:val="000000"/>
                <w:sz w:val="20"/>
                <w:szCs w:val="20"/>
              </w:rPr>
            </w:r>
          </w:p>
        </w:tc>
      </w:tr>
    </w:tbl>
    <w:p>
      <w:pPr>
        <w:pStyle w:val="ListParagraph"/>
        <w:ind w:left="720" w:right="-84" w:hanging="0"/>
        <w:jc w:val="center"/>
        <w:rPr>
          <w:sz w:val="22"/>
          <w:szCs w:val="22"/>
          <w:lang w:val="ru-RU" w:eastAsia="ru-RU"/>
        </w:rPr>
      </w:pPr>
      <w:r>
        <w:rPr>
          <w:sz w:val="22"/>
          <w:szCs w:val="22"/>
          <w:lang w:val="ru-RU" w:eastAsia="ru-RU"/>
        </w:rPr>
      </w:r>
    </w:p>
    <w:p>
      <w:pPr>
        <w:pStyle w:val="ListParagraph"/>
        <w:ind w:left="720" w:right="-84" w:hanging="0"/>
        <w:jc w:val="center"/>
        <w:rPr>
          <w:sz w:val="22"/>
          <w:szCs w:val="22"/>
          <w:lang w:val="ru-RU" w:eastAsia="ru-RU"/>
        </w:rPr>
      </w:pPr>
      <w:r>
        <w:rPr>
          <w:sz w:val="22"/>
          <w:szCs w:val="22"/>
          <w:lang w:val="ru-RU" w:eastAsia="ru-RU"/>
        </w:rPr>
      </w:r>
    </w:p>
    <w:p>
      <w:pPr>
        <w:pStyle w:val="Normal"/>
        <w:jc w:val="both"/>
        <w:rPr>
          <w:b/>
          <w:b/>
        </w:rPr>
      </w:pPr>
      <w:r>
        <w:rPr>
          <w:b/>
        </w:rPr>
      </w:r>
    </w:p>
    <w:p>
      <w:pPr>
        <w:pStyle w:val="Normal"/>
        <w:jc w:val="center"/>
        <w:rPr>
          <w:b/>
          <w:b/>
        </w:rPr>
      </w:pPr>
      <w:r>
        <w:rPr/>
        <mc:AlternateContent>
          <mc:Choice Requires="wps">
            <w:drawing>
              <wp:inline distT="0" distB="0" distL="0" distR="0">
                <wp:extent cx="5045710" cy="3784600"/>
                <wp:effectExtent l="0" t="0" r="0" b="0"/>
                <wp:docPr id="4"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4"/>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4" o:detectmouseclick="t"/>
                <w10:wrap type="none"/>
                <v:stroke color="#3465a4" joinstyle="round" endcap="flat"/>
              </v:shape>
            </w:pict>
          </mc:Fallback>
        </mc:AlternateContent>
        <mc:AlternateContent>
          <mc:Choice Requires="wps">
            <w:drawing>
              <wp:anchor behindDoc="0" distT="0" distB="0" distL="114300" distR="114300" simplePos="0" locked="0" layoutInCell="1" allowOverlap="1" relativeHeight="3">
                <wp:simplePos x="0" y="0"/>
                <wp:positionH relativeFrom="margin">
                  <wp:posOffset>2466340</wp:posOffset>
                </wp:positionH>
                <wp:positionV relativeFrom="paragraph">
                  <wp:posOffset>934720</wp:posOffset>
                </wp:positionV>
                <wp:extent cx="2781935" cy="591185"/>
                <wp:effectExtent l="19050" t="19050" r="19050" b="38100"/>
                <wp:wrapNone/>
                <wp:docPr id="3" name="Стрелка влево 3"/>
                <a:graphic xmlns:a="http://schemas.openxmlformats.org/drawingml/2006/main">
                  <a:graphicData uri="http://schemas.microsoft.com/office/word/2010/wordprocessingShape">
                    <wps:wsp>
                      <wps:cNvSpPr/>
                      <wps:spPr>
                        <a:xfrm>
                          <a:off x="0" y="0"/>
                          <a:ext cx="2781360" cy="590400"/>
                        </a:xfrm>
                        <a:prstGeom prst="leftArrow">
                          <a:avLst>
                            <a:gd name="adj1" fmla="val 50000"/>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66" coordsize="21600,21600" o:spt="66" adj="10800,10800" path="m,10800l@3,l@3@5l21600@5l21600@6l@3@6l@3,21600xe">
                <v:stroke joinstyle="miter"/>
                <v:formulas>
                  <v:f eqn="val 21600"/>
                  <v:f eqn="val #1"/>
                  <v:f eqn="val #0"/>
                  <v:f eqn="sum 0 @2 0"/>
                  <v:f eqn="prod 1 @1 2"/>
                  <v:f eqn="sum 10800 0 @4"/>
                  <v:f eqn="sum 10800 @4 0"/>
                  <v:f eqn="prod @5 @2 10800"/>
                  <v:f eqn="sum @3 0 @7"/>
                </v:formulas>
                <v:path gradientshapeok="t" o:connecttype="rect" textboxrect="@8,@5,21600,@6"/>
                <v:handles>
                  <v:h position="21600,@5"/>
                  <v:h position="@3,0"/>
                </v:handles>
              </v:shapetype>
              <v:shape id="shape_0" ID="Стрелка влево 3" stroked="t" style="position:absolute;margin-left:194.2pt;margin-top:73.6pt;width:218.95pt;height:46.45pt;mso-position-horizontal-relative:margin" type="shapetype_66">
                <w10:wrap type="none"/>
                <v:fill o:detectmouseclick="t" on="false"/>
                <v:stroke color="red" weight="12600" joinstyle="miter" endcap="flat"/>
              </v:shape>
            </w:pict>
          </mc:Fallback>
        </mc:AlternateContent>
      </w:r>
    </w:p>
    <w:p>
      <w:pPr>
        <w:pStyle w:val="Normal"/>
        <w:jc w:val="center"/>
        <w:rPr>
          <w:color w:val="000000"/>
          <w:sz w:val="20"/>
          <w:szCs w:val="20"/>
        </w:rPr>
      </w:pPr>
      <w:r>
        <w:rPr>
          <w:sz w:val="20"/>
          <w:szCs w:val="20"/>
        </w:rPr>
        <w:t xml:space="preserve">Фото № 11 – Бампер передний – </w:t>
      </w:r>
      <w:r>
        <w:rPr>
          <w:color w:val="000000"/>
          <w:sz w:val="20"/>
          <w:szCs w:val="20"/>
        </w:rPr>
        <w:t>выявленные недостатки/дефекты</w:t>
      </w:r>
    </w:p>
    <w:p>
      <w:pPr>
        <w:pStyle w:val="Normal"/>
        <w:jc w:val="center"/>
        <w:rPr>
          <w:color w:val="000000"/>
          <w:sz w:val="20"/>
          <w:szCs w:val="20"/>
        </w:rPr>
      </w:pPr>
      <w:r>
        <w:rPr/>
        <mc:AlternateContent>
          <mc:Choice Requires="wps">
            <w:drawing>
              <wp:inline distT="0" distB="0" distL="0" distR="0">
                <wp:extent cx="5045710" cy="3784600"/>
                <wp:effectExtent l="0" t="0" r="0" b="0"/>
                <wp:docPr id="5"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5"/>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5"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12 – Бампер передний – </w:t>
      </w:r>
      <w:r>
        <w:rPr>
          <w:color w:val="000000"/>
          <w:sz w:val="20"/>
          <w:szCs w:val="20"/>
        </w:rPr>
        <w:t>выявленные недостатки/дефекты</w:t>
      </w:r>
    </w:p>
    <w:p>
      <w:pPr>
        <w:pStyle w:val="Normal"/>
        <w:jc w:val="center"/>
        <w:rPr>
          <w:sz w:val="20"/>
          <w:szCs w:val="20"/>
        </w:rPr>
      </w:pPr>
      <w:r>
        <w:rPr/>
        <mc:AlternateContent>
          <mc:Choice Requires="wps">
            <w:drawing>
              <wp:inline distT="0" distB="0" distL="0" distR="0">
                <wp:extent cx="5045710" cy="3784600"/>
                <wp:effectExtent l="0" t="0" r="0" b="0"/>
                <wp:docPr id="6"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6"/>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6"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13 – Бампер передний – </w:t>
      </w:r>
      <w:r>
        <w:rPr>
          <w:color w:val="000000"/>
          <w:sz w:val="20"/>
          <w:szCs w:val="20"/>
        </w:rPr>
        <w:t>выявленные недостатки/дефекты</w:t>
      </w:r>
    </w:p>
    <w:p>
      <w:pPr>
        <w:pStyle w:val="Normal"/>
        <w:jc w:val="center"/>
        <w:rPr>
          <w:sz w:val="20"/>
          <w:szCs w:val="20"/>
        </w:rPr>
      </w:pPr>
      <w:r>
        <w:rPr/>
        <mc:AlternateContent>
          <mc:Choice Requires="wps">
            <w:drawing>
              <wp:inline distT="0" distB="0" distL="0" distR="0">
                <wp:extent cx="5045710" cy="3784600"/>
                <wp:effectExtent l="0" t="0" r="0" b="0"/>
                <wp:docPr id="7"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7"/>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7"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14 – Бампер передний – </w:t>
      </w:r>
      <w:r>
        <w:rPr>
          <w:color w:val="000000"/>
          <w:sz w:val="20"/>
          <w:szCs w:val="20"/>
        </w:rPr>
        <w:t>выявленные недостатки/дефекты</w:t>
      </w:r>
    </w:p>
    <w:p>
      <w:pPr>
        <w:pStyle w:val="Normal"/>
        <w:jc w:val="center"/>
        <w:rPr>
          <w:sz w:val="20"/>
          <w:szCs w:val="20"/>
        </w:rPr>
      </w:pPr>
      <w:r>
        <w:rPr/>
        <mc:AlternateContent>
          <mc:Choice Requires="wps">
            <w:drawing>
              <wp:inline distT="0" distB="0" distL="0" distR="0">
                <wp:extent cx="5045710" cy="3784600"/>
                <wp:effectExtent l="0" t="0" r="0" b="0"/>
                <wp:docPr id="8"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8"/>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8"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15 – Фара правая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2838450"/>
                <wp:effectExtent l="0" t="0" r="0" b="0"/>
                <wp:docPr id="9"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9"/>
                        <a:stretch/>
                      </pic:blipFill>
                      <pic:spPr>
                        <a:xfrm>
                          <a:off x="0" y="0"/>
                          <a:ext cx="5045040" cy="2837880"/>
                        </a:xfrm>
                        <a:prstGeom prst="rect">
                          <a:avLst/>
                        </a:prstGeom>
                        <a:ln>
                          <a:noFill/>
                        </a:ln>
                      </pic:spPr>
                    </pic:pic>
                  </a:graphicData>
                </a:graphic>
              </wp:inline>
            </w:drawing>
          </mc:Choice>
          <mc:Fallback>
            <w:pict>
              <v:shape id="shape_0" stroked="f" style="position:absolute;margin-left:0pt;margin-top:-223.5pt;width:397.2pt;height:223.4pt;mso-position-vertical:top" type="shapetype_75">
                <v:imagedata r:id="rId9"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16 – Фара правая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2838450"/>
                <wp:effectExtent l="0" t="0" r="0" b="0"/>
                <wp:docPr id="10"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10"/>
                        <a:stretch/>
                      </pic:blipFill>
                      <pic:spPr>
                        <a:xfrm>
                          <a:off x="0" y="0"/>
                          <a:ext cx="5045040" cy="2837880"/>
                        </a:xfrm>
                        <a:prstGeom prst="rect">
                          <a:avLst/>
                        </a:prstGeom>
                        <a:ln>
                          <a:noFill/>
                        </a:ln>
                      </pic:spPr>
                    </pic:pic>
                  </a:graphicData>
                </a:graphic>
              </wp:inline>
            </w:drawing>
          </mc:Choice>
          <mc:Fallback>
            <w:pict>
              <v:shape id="shape_0" stroked="f" style="position:absolute;margin-left:0pt;margin-top:-223.5pt;width:397.2pt;height:223.4pt;mso-position-vertical:top" type="shapetype_75">
                <v:imagedata r:id="rId10"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17 – Фара правая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279775"/>
                <wp:effectExtent l="0" t="0" r="0" b="0"/>
                <wp:docPr id="11"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1"/>
                        <a:srcRect l="49751" t="51808" r="25966" b="20329"/>
                        <a:stretch/>
                      </pic:blipFill>
                      <pic:spPr>
                        <a:xfrm>
                          <a:off x="0" y="0"/>
                          <a:ext cx="5045040" cy="3279240"/>
                        </a:xfrm>
                        <a:prstGeom prst="rect">
                          <a:avLst/>
                        </a:prstGeom>
                        <a:ln>
                          <a:noFill/>
                        </a:ln>
                      </pic:spPr>
                    </pic:pic>
                  </a:graphicData>
                </a:graphic>
              </wp:inline>
            </w:drawing>
          </mc:Choice>
          <mc:Fallback>
            <w:pict>
              <v:shape id="shape_0" stroked="f" style="position:absolute;margin-left:0pt;margin-top:-258.25pt;width:397.2pt;height:258.15pt;mso-position-vertical:top" type="shapetype_75">
                <v:imagedata r:id="rId11"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18 – Фара правая – </w:t>
      </w:r>
      <w:r>
        <w:rPr>
          <w:color w:val="000000"/>
          <w:sz w:val="20"/>
          <w:szCs w:val="20"/>
        </w:rPr>
        <w:t>маркировка даты выпуска</w:t>
      </w:r>
    </w:p>
    <w:p>
      <w:pPr>
        <w:pStyle w:val="Normal"/>
        <w:jc w:val="center"/>
        <w:rPr>
          <w:b/>
          <w:b/>
        </w:rPr>
      </w:pPr>
      <w:r>
        <w:rPr/>
        <mc:AlternateContent>
          <mc:Choice Requires="wps">
            <w:drawing>
              <wp:inline distT="0" distB="0" distL="0" distR="0">
                <wp:extent cx="5045710" cy="3784600"/>
                <wp:effectExtent l="0" t="0" r="0" b="0"/>
                <wp:docPr id="12"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2"/>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12"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19 – Крыло переднее правое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84600"/>
                <wp:effectExtent l="0" t="0" r="0" b="0"/>
                <wp:docPr id="13"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3"/>
                        <a:stretch/>
                      </pic:blipFill>
                      <pic:spPr>
                        <a:xfrm>
                          <a:off x="0" y="0"/>
                          <a:ext cx="5045040" cy="3783960"/>
                        </a:xfrm>
                        <a:prstGeom prst="rect">
                          <a:avLst/>
                        </a:prstGeom>
                        <a:ln>
                          <a:noFill/>
                        </a:ln>
                      </pic:spPr>
                    </pic:pic>
                  </a:graphicData>
                </a:graphic>
              </wp:inline>
            </w:drawing>
          </mc:Choice>
          <mc:Fallback>
            <w:pict>
              <v:shape id="shape_0" stroked="f" style="position:absolute;margin-left:0pt;margin-top:-298pt;width:397.2pt;height:297.9pt;mso-position-vertical:top" type="shapetype_75">
                <v:imagedata r:id="rId13"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20 – Крыло переднее правое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248025"/>
                <wp:effectExtent l="0" t="0" r="0" b="0"/>
                <wp:docPr id="14"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4"/>
                        <a:srcRect l="26029" t="30049" r="24290" b="27057"/>
                        <a:stretch/>
                      </pic:blipFill>
                      <pic:spPr>
                        <a:xfrm>
                          <a:off x="0" y="0"/>
                          <a:ext cx="5045040" cy="3247560"/>
                        </a:xfrm>
                        <a:prstGeom prst="rect">
                          <a:avLst/>
                        </a:prstGeom>
                        <a:ln>
                          <a:noFill/>
                        </a:ln>
                      </pic:spPr>
                    </pic:pic>
                  </a:graphicData>
                </a:graphic>
              </wp:inline>
            </w:drawing>
          </mc:Choice>
          <mc:Fallback>
            <w:pict>
              <v:shape id="shape_0" stroked="f" style="position:absolute;margin-left:0pt;margin-top:-255.75pt;width:397.2pt;height:255.65pt;mso-position-vertical:top" type="shapetype_75">
                <v:imagedata r:id="rId14"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21 – Крыло переднее правое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364230"/>
                <wp:effectExtent l="0" t="0" r="0" b="0"/>
                <wp:docPr id="15"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5"/>
                        <a:srcRect l="24600" t="13263" r="1270" b="20630"/>
                        <a:stretch/>
                      </pic:blipFill>
                      <pic:spPr>
                        <a:xfrm>
                          <a:off x="0" y="0"/>
                          <a:ext cx="5045040" cy="3363480"/>
                        </a:xfrm>
                        <a:prstGeom prst="rect">
                          <a:avLst/>
                        </a:prstGeom>
                        <a:ln>
                          <a:noFill/>
                        </a:ln>
                      </pic:spPr>
                    </pic:pic>
                  </a:graphicData>
                </a:graphic>
              </wp:inline>
            </w:drawing>
          </mc:Choice>
          <mc:Fallback>
            <w:pict>
              <v:shape id="shape_0" stroked="f" style="position:absolute;margin-left:0pt;margin-top:-264.9pt;width:397.2pt;height:264.8pt;mso-position-vertical:top" type="shapetype_75">
                <v:imagedata r:id="rId15"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22 – Крыло переднее правое – </w:t>
      </w:r>
      <w:r>
        <w:rPr>
          <w:color w:val="000000"/>
          <w:sz w:val="20"/>
          <w:szCs w:val="20"/>
        </w:rPr>
        <w:t>выявленные недостатки/дефекты</w:t>
      </w:r>
    </w:p>
    <w:p>
      <w:pPr>
        <w:pStyle w:val="Normal"/>
        <w:jc w:val="center"/>
        <w:rPr>
          <w:b/>
          <w:b/>
        </w:rPr>
      </w:pPr>
      <w:r>
        <w:rPr>
          <w:b/>
        </w:rPr>
      </w:r>
    </w:p>
    <w:p>
      <w:pPr>
        <w:pStyle w:val="Normal"/>
        <w:jc w:val="center"/>
        <w:rPr>
          <w:b/>
          <w:b/>
        </w:rPr>
      </w:pPr>
      <w:r>
        <w:rPr/>
        <mc:AlternateContent>
          <mc:Choice Requires="wps">
            <w:drawing>
              <wp:inline distT="0" distB="0" distL="0" distR="0">
                <wp:extent cx="5045710" cy="3773805"/>
                <wp:effectExtent l="0" t="0" r="0" b="0"/>
                <wp:docPr id="16"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5"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23 – Подкрылок передний левый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17"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6"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24 – Подкрылок передний левый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18"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7"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25 – Дверь передняя левая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19"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8"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26 – Дверь передняя левая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20"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9"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27 – Диск колеса передний левый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21"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20"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28 – Диск колеса передний левый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22"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18"/>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18"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29 – Дверь задняя левая – </w:t>
      </w:r>
      <w:r>
        <w:rPr>
          <w:color w:val="000000"/>
          <w:sz w:val="20"/>
          <w:szCs w:val="20"/>
        </w:rPr>
        <w:t>выявленные недостатки/дефекты</w:t>
      </w:r>
    </w:p>
    <w:p>
      <w:pPr>
        <w:pStyle w:val="Normal"/>
        <w:jc w:val="center"/>
        <w:rPr>
          <w:b/>
          <w:b/>
        </w:rPr>
      </w:pPr>
      <w:r>
        <w:rPr/>
        <mc:AlternateContent>
          <mc:Choice Requires="wps">
            <w:drawing>
              <wp:inline distT="0" distB="0" distL="0" distR="0">
                <wp:extent cx="5045710" cy="3773805"/>
                <wp:effectExtent l="0" t="0" r="0" b="0"/>
                <wp:docPr id="23"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1"/>
                        <a:stretch/>
                      </pic:blipFill>
                      <pic:spPr>
                        <a:xfrm>
                          <a:off x="0" y="0"/>
                          <a:ext cx="5045040" cy="3773160"/>
                        </a:xfrm>
                        <a:prstGeom prst="rect">
                          <a:avLst/>
                        </a:prstGeom>
                        <a:ln>
                          <a:noFill/>
                        </a:ln>
                      </pic:spPr>
                    </pic:pic>
                  </a:graphicData>
                </a:graphic>
              </wp:inline>
            </w:drawing>
          </mc:Choice>
          <mc:Fallback>
            <w:pict>
              <v:shape id="shape_0" stroked="f" style="position:absolute;margin-left:0pt;margin-top:-297.15pt;width:397.2pt;height:297.05pt;mso-position-vertical:top" type="shapetype_75">
                <v:imagedata r:id="rId21"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30 – Дверь задняя левая – </w:t>
      </w:r>
      <w:r>
        <w:rPr>
          <w:color w:val="000000"/>
          <w:sz w:val="20"/>
          <w:szCs w:val="20"/>
        </w:rPr>
        <w:t>выявленные недостатки/дефекты</w:t>
      </w:r>
    </w:p>
    <w:p>
      <w:pPr>
        <w:pStyle w:val="Normal"/>
        <w:jc w:val="center"/>
        <w:rPr>
          <w:b/>
          <w:b/>
        </w:rPr>
      </w:pPr>
      <w:r>
        <w:rPr>
          <w:b/>
        </w:rPr>
      </w:r>
    </w:p>
    <w:p>
      <w:pPr>
        <w:pStyle w:val="Normal"/>
        <w:jc w:val="center"/>
        <w:rPr>
          <w:b/>
          <w:b/>
        </w:rPr>
      </w:pPr>
      <w:r>
        <w:rPr/>
        <mc:AlternateContent>
          <mc:Choice Requires="wps">
            <w:drawing>
              <wp:inline distT="0" distB="0" distL="0" distR="0">
                <wp:extent cx="5045710" cy="2838450"/>
                <wp:effectExtent l="0" t="0" r="0" b="0"/>
                <wp:docPr id="24"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2"/>
                        <a:stretch/>
                      </pic:blipFill>
                      <pic:spPr>
                        <a:xfrm>
                          <a:off x="0" y="0"/>
                          <a:ext cx="5045040" cy="2837880"/>
                        </a:xfrm>
                        <a:prstGeom prst="rect">
                          <a:avLst/>
                        </a:prstGeom>
                        <a:ln>
                          <a:noFill/>
                        </a:ln>
                      </pic:spPr>
                    </pic:pic>
                  </a:graphicData>
                </a:graphic>
              </wp:inline>
            </w:drawing>
          </mc:Choice>
          <mc:Fallback>
            <w:pict>
              <v:shape id="shape_0" stroked="f" style="position:absolute;margin-left:0pt;margin-top:-223.5pt;width:397.2pt;height:223.4pt;mso-position-vertical:top" type="shapetype_75">
                <v:imagedata r:id="rId22" o:detectmouseclick="t"/>
                <w10:wrap type="none"/>
                <v:stroke color="#3465a4" joinstyle="round" endcap="flat"/>
              </v:shape>
            </w:pict>
          </mc:Fallback>
        </mc:AlternateContent>
      </w:r>
    </w:p>
    <w:p>
      <w:pPr>
        <w:pStyle w:val="Normal"/>
        <w:jc w:val="center"/>
        <w:rPr>
          <w:color w:val="000000"/>
          <w:sz w:val="20"/>
          <w:szCs w:val="20"/>
        </w:rPr>
      </w:pPr>
      <w:r>
        <w:rPr>
          <w:sz w:val="20"/>
          <w:szCs w:val="20"/>
        </w:rPr>
        <w:t xml:space="preserve">Фото № 31 – Абсорбер переднего бампера – </w:t>
      </w:r>
      <w:r>
        <w:rPr>
          <w:color w:val="000000"/>
          <w:sz w:val="20"/>
          <w:szCs w:val="20"/>
        </w:rPr>
        <w:t>выявленные недостатки/дефекты</w:t>
      </w:r>
    </w:p>
    <w:p>
      <w:pPr>
        <w:pStyle w:val="Normal"/>
        <w:jc w:val="center"/>
        <w:rPr>
          <w:b/>
          <w:b/>
        </w:rPr>
      </w:pPr>
      <w:r>
        <w:rPr>
          <w:b/>
        </w:rPr>
      </w:r>
    </w:p>
    <w:p>
      <w:pPr>
        <w:pStyle w:val="Normal"/>
        <w:ind w:firstLine="567"/>
        <w:jc w:val="both"/>
        <w:rPr/>
      </w:pPr>
      <w:r>
        <w:rPr/>
      </w:r>
    </w:p>
    <w:p>
      <w:pPr>
        <w:pStyle w:val="Normal"/>
        <w:ind w:firstLine="567"/>
        <w:jc w:val="both"/>
        <w:rPr>
          <w:b/>
          <w:b/>
        </w:rPr>
      </w:pPr>
      <w:r>
        <w:rPr>
          <w:b/>
        </w:rPr>
        <w:t>Исследование лакокрасочного покрытия автомобиля:</w:t>
      </w:r>
    </w:p>
    <w:p>
      <w:pPr>
        <w:pStyle w:val="Normal"/>
        <w:ind w:firstLine="709"/>
        <w:jc w:val="both"/>
        <w:rPr>
          <w:u w:val="single"/>
        </w:rPr>
      </w:pPr>
      <w:r>
        <w:rPr>
          <w:u w:val="single"/>
        </w:rPr>
      </w:r>
    </w:p>
    <w:p>
      <w:pPr>
        <w:pStyle w:val="Normal"/>
        <w:ind w:firstLine="709"/>
        <w:jc w:val="both"/>
        <w:rPr/>
      </w:pPr>
      <w:r>
        <w:rPr/>
        <w:t>Для определения состояния и проверки ЛКП помимо визуального осмотра применяется прибор для измерения толщины ЛКП кузова. Располагая современным оборудованием, можно с очень высокой степенью точности определить толщину ЛКП и выявить места кузовного ремонта, найти, так называемые, точки переходов (при подкраске деталей) и составить общую картину состояния покрытия кузова.</w:t>
      </w:r>
    </w:p>
    <w:p>
      <w:pPr>
        <w:pStyle w:val="Normal"/>
        <w:ind w:firstLine="709"/>
        <w:jc w:val="both"/>
        <w:rPr/>
      </w:pPr>
      <w:r>
        <w:rPr/>
        <w:t xml:space="preserve">Как правило, для определения предельной толщины ЛКП кузова используются данные заводов-изготовителей. В соответствии с ними максимальная толщина краски кузова составляет от 80 до 200 мкм в зависимости от марки авто, что соответствует действительности. </w:t>
      </w:r>
    </w:p>
    <w:p>
      <w:pPr>
        <w:pStyle w:val="Normal"/>
        <w:ind w:firstLine="709"/>
        <w:jc w:val="both"/>
        <w:rPr/>
      </w:pPr>
      <w:r>
        <w:rPr/>
        <w:t xml:space="preserve">Максимальная толщина лакокрасочного покрытия на автомобилях </w:t>
      </w:r>
      <w:r>
        <w:rPr>
          <w:lang w:val="en-US"/>
        </w:rPr>
        <w:t>MERCEDES</w:t>
      </w:r>
      <w:r>
        <w:rPr/>
        <w:t>-</w:t>
      </w:r>
      <w:r>
        <w:rPr>
          <w:lang w:val="en-US"/>
        </w:rPr>
        <w:t>BENZ</w:t>
      </w:r>
      <w:r>
        <w:rPr/>
        <w:t xml:space="preserve"> </w:t>
      </w:r>
      <w:r>
        <w:rPr>
          <w:lang w:val="en-US"/>
        </w:rPr>
        <w:t>A</w:t>
      </w:r>
      <w:r>
        <w:rPr/>
        <w:t>200 не превышает 160 мкм.</w:t>
      </w:r>
    </w:p>
    <w:p>
      <w:pPr>
        <w:pStyle w:val="Normal"/>
        <w:ind w:firstLine="709"/>
        <w:jc w:val="both"/>
        <w:rPr/>
      </w:pPr>
      <w:r>
        <w:rPr/>
        <w:t xml:space="preserve"> </w:t>
      </w:r>
      <w:r>
        <w:rPr/>
        <w:t>Толщина лакокрасочного покрытия на деталях не подверженных внешним воздействиям должна составлять 50-90 мкм. (внутренние пороги, стойки, кузовные детали под капотом и в багажнике).</w:t>
      </w:r>
    </w:p>
    <w:p>
      <w:pPr>
        <w:pStyle w:val="Normal"/>
        <w:ind w:firstLine="709"/>
        <w:jc w:val="both"/>
        <w:rPr/>
      </w:pPr>
      <w:r>
        <w:rPr/>
        <w:t>При измерении толщины лакокрасочного покрытия на автомобиле в любом случае будет небольшой «разбег» значений (даже на новых автомобилях, которые только что выехали с завода).  Заводской допуск может колебаться в 15-30 мкм, при этом необходимо учитывать погрешность прибора, порядка 3 %. Это объясняется неравномерностью покраски на заводе (это норма) и шагренью. Факторов, от которых зависит толщина ЛКП на конкретном автомобиле достаточно много: это и год выпуска, страна сборки, частота посещения автомоек, усердность автовладельца при чистке автомобиля от снега зимой и др.</w:t>
      </w:r>
    </w:p>
    <w:p>
      <w:pPr>
        <w:pStyle w:val="Normal"/>
        <w:ind w:firstLine="709"/>
        <w:jc w:val="both"/>
        <w:rPr/>
      </w:pPr>
      <w:r>
        <w:rPr/>
        <w:t xml:space="preserve">При полировке толщина лакокрасочного покрытия может уменьшиться на 10-15 мкм. При нанесении защитных пленок увеличиться на 10-50 мкм. При оклейке деталей карбоном значения толщины ЛКП значительно увеличатся (порядка 200-300 мкм в зависимости от пленки). </w:t>
      </w:r>
    </w:p>
    <w:p>
      <w:pPr>
        <w:pStyle w:val="Normal"/>
        <w:ind w:firstLine="709"/>
        <w:jc w:val="both"/>
        <w:rPr/>
      </w:pPr>
      <w:r>
        <w:rPr/>
      </w:r>
    </w:p>
    <w:p>
      <w:pPr>
        <w:pStyle w:val="Normal"/>
        <w:ind w:firstLine="709"/>
        <w:jc w:val="both"/>
        <w:rPr/>
      </w:pPr>
      <w:r>
        <w:rPr/>
        <w:t xml:space="preserve">Специалистом произведен осмотр и замер толщины ЛКП на исследуемом автомобиле MERCEDES-BENZ A200, идентификационный номер (VIN) *******, 2019 года выпуска, государственный регистрационный знак *******, с применением   электромагнитного толщиномера лакокрасочных покрытий </w:t>
      </w:r>
      <w:r>
        <w:rPr>
          <w:lang w:val="en-US"/>
        </w:rPr>
        <w:t>rDevice</w:t>
      </w:r>
      <w:r>
        <w:rPr/>
        <w:t xml:space="preserve"> </w:t>
      </w:r>
      <w:r>
        <w:rPr>
          <w:lang w:val="en-US"/>
        </w:rPr>
        <w:t>RD</w:t>
      </w:r>
      <w:r>
        <w:rPr/>
        <w:t xml:space="preserve"> 975 </w:t>
      </w:r>
      <w:r>
        <w:rPr>
          <w:lang w:val="en-US"/>
        </w:rPr>
        <w:t>FN</w:t>
      </w:r>
      <w:r>
        <w:rPr/>
        <w:t xml:space="preserve"> + </w:t>
      </w:r>
      <w:r>
        <w:rPr>
          <w:lang w:val="en-US"/>
        </w:rPr>
        <w:t>Zinc</w:t>
      </w:r>
      <w:r>
        <w:rPr/>
        <w:t xml:space="preserve"> </w:t>
      </w:r>
      <w:r>
        <w:rPr>
          <w:lang w:val="en-US"/>
        </w:rPr>
        <w:t>S</w:t>
      </w:r>
      <w:r>
        <w:rPr/>
        <w:t>/</w:t>
      </w:r>
      <w:r>
        <w:rPr>
          <w:lang w:val="en-US"/>
        </w:rPr>
        <w:t>N</w:t>
      </w:r>
      <w:r>
        <w:rPr/>
        <w:t>: 2112</w:t>
      </w:r>
      <w:r>
        <w:rPr>
          <w:lang w:val="en-US"/>
        </w:rPr>
        <w:t>EC</w:t>
      </w:r>
      <w:r>
        <w:rPr/>
        <w:t>437392. Составлен акт исследования толщины ЛКП.</w:t>
      </w:r>
    </w:p>
    <w:p>
      <w:pPr>
        <w:pStyle w:val="Normal"/>
        <w:ind w:right="3969" w:firstLine="709"/>
        <w:jc w:val="both"/>
        <w:rPr/>
      </w:pPr>
      <w:r>
        <w:rPr/>
      </w:r>
    </w:p>
    <w:p>
      <w:pPr>
        <w:pStyle w:val="Normal"/>
        <w:tabs>
          <w:tab w:val="clear" w:pos="708"/>
          <w:tab w:val="left" w:pos="714" w:leader="none"/>
          <w:tab w:val="center" w:pos="5490" w:leader="none"/>
        </w:tabs>
        <w:spacing w:lineRule="auto" w:line="360"/>
        <w:ind w:left="142" w:firstLine="284"/>
        <w:rPr>
          <w:b/>
          <w:b/>
        </w:rPr>
      </w:pPr>
      <w:r>
        <w:rPr>
          <w:b/>
        </w:rPr>
      </w:r>
    </w:p>
    <w:p>
      <w:pPr>
        <w:pStyle w:val="Normal"/>
        <w:tabs>
          <w:tab w:val="clear" w:pos="708"/>
          <w:tab w:val="left" w:pos="714" w:leader="none"/>
          <w:tab w:val="center" w:pos="5490" w:leader="none"/>
        </w:tabs>
        <w:spacing w:lineRule="auto" w:line="360"/>
        <w:ind w:left="142" w:firstLine="284"/>
        <w:rPr>
          <w:b/>
          <w:b/>
        </w:rPr>
      </w:pPr>
      <w:r>
        <w:rPr>
          <w:b/>
        </w:rPr>
      </w:r>
    </w:p>
    <w:p>
      <w:pPr>
        <w:pStyle w:val="Normal"/>
        <w:tabs>
          <w:tab w:val="clear" w:pos="708"/>
          <w:tab w:val="left" w:pos="714" w:leader="none"/>
          <w:tab w:val="center" w:pos="5490" w:leader="none"/>
        </w:tabs>
        <w:spacing w:lineRule="auto" w:line="360"/>
        <w:ind w:left="142" w:firstLine="284"/>
        <w:rPr>
          <w:b/>
          <w:b/>
        </w:rPr>
      </w:pPr>
      <w:r>
        <w:rPr>
          <w:b/>
        </w:rPr>
        <w:t>Акт исследования толщины ЛКП исследуемых деталей</w:t>
      </w:r>
    </w:p>
    <w:p>
      <w:pPr>
        <w:pStyle w:val="Normal"/>
        <w:ind w:firstLine="709"/>
        <w:jc w:val="both"/>
        <w:rPr/>
      </w:pPr>
      <w:r>
        <w:rPr>
          <w:b/>
          <w:sz w:val="20"/>
        </w:rPr>
        <w:t xml:space="preserve">       </w:t>
      </w:r>
    </w:p>
    <w:p>
      <w:pPr>
        <w:pStyle w:val="Normal"/>
        <w:ind w:firstLine="709"/>
        <w:jc w:val="both"/>
        <w:rPr/>
      </w:pPr>
      <w:r>
        <w:rPr/>
        <w:t xml:space="preserve">      </w:t>
      </w:r>
      <w:r>
        <w:rPr/>
        <w:t xml:space="preserve">В процессе исследования, было произведено исследование толщины лакокрасочного покрытия наружных кузовных деталей. </w:t>
      </w:r>
    </w:p>
    <w:p>
      <w:pPr>
        <w:pStyle w:val="Normal"/>
        <w:spacing w:lineRule="auto" w:line="360"/>
        <w:ind w:left="426" w:firstLine="283"/>
        <w:jc w:val="center"/>
        <w:rPr>
          <w:b/>
          <w:b/>
        </w:rPr>
      </w:pPr>
      <w:r>
        <w:rPr>
          <w:b/>
        </w:rPr>
        <w:t>Нумерация деталей</w:t>
      </w:r>
    </w:p>
    <w:p>
      <w:pPr>
        <w:pStyle w:val="Normal"/>
        <w:spacing w:lineRule="auto" w:line="360"/>
        <w:ind w:left="426" w:firstLine="283"/>
        <w:jc w:val="center"/>
        <w:rPr>
          <w:b/>
          <w:b/>
          <w:sz w:val="28"/>
          <w:szCs w:val="28"/>
        </w:rPr>
      </w:pPr>
      <w:r>
        <w:rPr/>
        <w:drawing>
          <wp:inline distT="0" distB="8890" distL="0" distR="5080">
            <wp:extent cx="3709670" cy="2372360"/>
            <wp:effectExtent l="0" t="0" r="0" b="0"/>
            <wp:docPr id="25" name="Рисунок 179" descr="2022-04-18_12293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9" descr="2022-04-18_122930 — копия"/>
                    <pic:cNvPicPr>
                      <a:picLocks noChangeAspect="1" noChangeArrowheads="1"/>
                    </pic:cNvPicPr>
                  </pic:nvPicPr>
                  <pic:blipFill>
                    <a:blip r:embed="rId23"/>
                    <a:stretch>
                      <a:fillRect/>
                    </a:stretch>
                  </pic:blipFill>
                  <pic:spPr bwMode="auto">
                    <a:xfrm>
                      <a:off x="0" y="0"/>
                      <a:ext cx="3709670" cy="2372360"/>
                    </a:xfrm>
                    <a:prstGeom prst="rect">
                      <a:avLst/>
                    </a:prstGeom>
                  </pic:spPr>
                </pic:pic>
              </a:graphicData>
            </a:graphic>
          </wp:inline>
        </w:drawing>
      </w:r>
    </w:p>
    <w:p>
      <w:pPr>
        <w:pStyle w:val="Normal"/>
        <w:spacing w:lineRule="auto" w:line="360"/>
        <w:ind w:left="426" w:firstLine="283"/>
        <w:jc w:val="center"/>
        <w:rPr>
          <w:b/>
          <w:b/>
          <w:sz w:val="28"/>
          <w:szCs w:val="28"/>
        </w:rPr>
      </w:pPr>
      <w:r>
        <w:rPr>
          <w:b/>
          <w:sz w:val="28"/>
          <w:szCs w:val="28"/>
        </w:rPr>
      </w:r>
    </w:p>
    <w:p>
      <w:pPr>
        <w:pStyle w:val="Normal"/>
        <w:spacing w:lineRule="auto" w:line="360"/>
        <w:jc w:val="center"/>
        <w:rPr>
          <w:b/>
          <w:b/>
          <w:sz w:val="20"/>
          <w:szCs w:val="20"/>
        </w:rPr>
      </w:pPr>
      <w:r>
        <w:rPr>
          <w:b/>
          <w:sz w:val="20"/>
          <w:szCs w:val="20"/>
        </w:rPr>
        <w:t>Расположение точек замеров</w:t>
      </w:r>
    </w:p>
    <w:p>
      <w:pPr>
        <w:pStyle w:val="Normal"/>
        <w:spacing w:lineRule="auto" w:line="360"/>
        <w:jc w:val="both"/>
        <w:rPr>
          <w:b/>
          <w:b/>
          <w:sz w:val="20"/>
          <w:szCs w:val="20"/>
        </w:rPr>
      </w:pPr>
      <w:r>
        <w:rPr>
          <w:b/>
          <w:sz w:val="20"/>
          <w:szCs w:val="20"/>
        </w:rPr>
        <w:drawing>
          <wp:anchor behindDoc="1" distT="0" distB="0" distL="114300" distR="118745" simplePos="0" locked="0" layoutInCell="1" allowOverlap="1" relativeHeight="2">
            <wp:simplePos x="0" y="0"/>
            <wp:positionH relativeFrom="column">
              <wp:posOffset>1840865</wp:posOffset>
            </wp:positionH>
            <wp:positionV relativeFrom="paragraph">
              <wp:posOffset>111125</wp:posOffset>
            </wp:positionV>
            <wp:extent cx="3005455" cy="898525"/>
            <wp:effectExtent l="0" t="0" r="0" b="0"/>
            <wp:wrapNone/>
            <wp:docPr id="26"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2" descr=""/>
                    <pic:cNvPicPr>
                      <a:picLocks noChangeAspect="1" noChangeArrowheads="1"/>
                    </pic:cNvPicPr>
                  </pic:nvPicPr>
                  <pic:blipFill>
                    <a:blip r:embed="rId24"/>
                    <a:stretch>
                      <a:fillRect/>
                    </a:stretch>
                  </pic:blipFill>
                  <pic:spPr bwMode="auto">
                    <a:xfrm>
                      <a:off x="0" y="0"/>
                      <a:ext cx="3005455" cy="898525"/>
                    </a:xfrm>
                    <a:prstGeom prst="rect">
                      <a:avLst/>
                    </a:prstGeom>
                  </pic:spPr>
                </pic:pic>
              </a:graphicData>
            </a:graphic>
          </wp:anchor>
        </w:drawing>
      </w:r>
    </w:p>
    <w:p>
      <w:pPr>
        <w:pStyle w:val="Normal"/>
        <w:spacing w:lineRule="auto" w:line="360"/>
        <w:jc w:val="both"/>
        <w:rPr>
          <w:b/>
          <w:b/>
          <w:sz w:val="20"/>
          <w:szCs w:val="20"/>
        </w:rPr>
      </w:pPr>
      <w:r>
        <w:rPr>
          <w:b/>
          <w:sz w:val="20"/>
          <w:szCs w:val="20"/>
        </w:rPr>
      </w:r>
    </w:p>
    <w:p>
      <w:pPr>
        <w:pStyle w:val="Normal"/>
        <w:spacing w:lineRule="auto" w:line="360"/>
        <w:jc w:val="both"/>
        <w:rPr>
          <w:b/>
          <w:b/>
          <w:sz w:val="20"/>
          <w:szCs w:val="20"/>
        </w:rPr>
      </w:pPr>
      <w:r>
        <w:rPr>
          <w:b/>
          <w:sz w:val="20"/>
          <w:szCs w:val="20"/>
        </w:rPr>
      </w:r>
    </w:p>
    <w:p>
      <w:pPr>
        <w:pStyle w:val="Normal"/>
        <w:spacing w:lineRule="auto" w:line="360"/>
        <w:jc w:val="both"/>
        <w:rPr>
          <w:b/>
          <w:b/>
          <w:sz w:val="20"/>
          <w:szCs w:val="20"/>
        </w:rPr>
      </w:pPr>
      <w:r>
        <w:rPr>
          <w:b/>
          <w:sz w:val="20"/>
          <w:szCs w:val="20"/>
        </w:rPr>
      </w:r>
    </w:p>
    <w:p>
      <w:pPr>
        <w:pStyle w:val="Normal"/>
        <w:spacing w:lineRule="auto" w:line="360"/>
        <w:jc w:val="center"/>
        <w:rPr>
          <w:b/>
          <w:b/>
          <w:sz w:val="20"/>
          <w:szCs w:val="20"/>
        </w:rPr>
      </w:pPr>
      <w:r>
        <w:rPr>
          <w:b/>
          <w:sz w:val="20"/>
          <w:szCs w:val="20"/>
        </w:rPr>
        <w:t>Результаты измерений</w:t>
      </w:r>
    </w:p>
    <w:tbl>
      <w:tblPr>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noVBand="1" w:noHBand="0" w:lastColumn="0" w:firstColumn="1" w:lastRow="0" w:firstRow="1"/>
      </w:tblPr>
      <w:tblGrid>
        <w:gridCol w:w="1866"/>
        <w:gridCol w:w="1535"/>
        <w:gridCol w:w="1561"/>
        <w:gridCol w:w="1701"/>
        <w:gridCol w:w="1701"/>
        <w:gridCol w:w="1700"/>
      </w:tblGrid>
      <w:tr>
        <w:trPr>
          <w:trHeight w:val="170" w:hRule="atLeast"/>
        </w:trPr>
        <w:tc>
          <w:tcPr>
            <w:tcW w:w="186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 xml:space="preserve">№ </w:t>
            </w:r>
            <w:r>
              <w:rPr>
                <w:b/>
                <w:sz w:val="20"/>
                <w:szCs w:val="20"/>
              </w:rPr>
              <w:t>Детали</w:t>
            </w:r>
          </w:p>
        </w:tc>
        <w:tc>
          <w:tcPr>
            <w:tcW w:w="8198"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 xml:space="preserve">Результаты измерений на детали </w:t>
            </w:r>
          </w:p>
          <w:p>
            <w:pPr>
              <w:pStyle w:val="Normal"/>
              <w:spacing w:lineRule="auto" w:line="360"/>
              <w:jc w:val="center"/>
              <w:rPr>
                <w:b/>
                <w:b/>
                <w:sz w:val="20"/>
                <w:szCs w:val="20"/>
              </w:rPr>
            </w:pPr>
            <w:r>
              <w:rPr>
                <w:b/>
                <w:sz w:val="20"/>
                <w:szCs w:val="20"/>
              </w:rPr>
              <w:t>В исследуемых точках (МКМ).</w:t>
            </w:r>
          </w:p>
        </w:tc>
      </w:tr>
      <w:tr>
        <w:trPr>
          <w:trHeight w:val="170" w:hRule="atLeast"/>
        </w:trPr>
        <w:tc>
          <w:tcPr>
            <w:tcW w:w="186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1</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4</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center"/>
              <w:rPr>
                <w:b/>
                <w:b/>
                <w:sz w:val="20"/>
                <w:szCs w:val="20"/>
              </w:rPr>
            </w:pPr>
            <w:r>
              <w:rPr>
                <w:b/>
                <w:sz w:val="20"/>
                <w:szCs w:val="20"/>
              </w:rPr>
              <w:t>5</w:t>
            </w:r>
          </w:p>
        </w:tc>
      </w:tr>
      <w:tr>
        <w:trPr>
          <w:trHeight w:val="170" w:hRule="atLeast"/>
        </w:trPr>
        <w:tc>
          <w:tcPr>
            <w:tcW w:w="1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sz w:val="20"/>
                <w:szCs w:val="20"/>
              </w:rPr>
            </w:pPr>
            <w:r>
              <w:rPr>
                <w:b/>
                <w:sz w:val="20"/>
                <w:szCs w:val="20"/>
              </w:rPr>
              <w:t>4 – дверь передняя левая</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527</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387</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311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494</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w:t>
            </w:r>
          </w:p>
        </w:tc>
      </w:tr>
      <w:tr>
        <w:trPr>
          <w:trHeight w:val="170" w:hRule="atLeast"/>
        </w:trPr>
        <w:tc>
          <w:tcPr>
            <w:tcW w:w="1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sz w:val="20"/>
                <w:szCs w:val="20"/>
              </w:rPr>
            </w:pPr>
            <w:r>
              <w:rPr>
                <w:b/>
                <w:sz w:val="20"/>
                <w:szCs w:val="20"/>
                <w:lang w:val="en-US"/>
              </w:rPr>
              <w:t>2</w:t>
            </w:r>
            <w:r>
              <w:rPr>
                <w:b/>
                <w:sz w:val="20"/>
                <w:szCs w:val="20"/>
              </w:rPr>
              <w:t xml:space="preserve"> – крыло переднее левое</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448</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525</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523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561</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745</w:t>
            </w:r>
          </w:p>
        </w:tc>
      </w:tr>
      <w:tr>
        <w:trPr>
          <w:trHeight w:val="170" w:hRule="atLeast"/>
        </w:trPr>
        <w:tc>
          <w:tcPr>
            <w:tcW w:w="1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sz w:val="20"/>
                <w:szCs w:val="20"/>
              </w:rPr>
            </w:pPr>
            <w:r>
              <w:rPr>
                <w:b/>
                <w:sz w:val="20"/>
                <w:szCs w:val="20"/>
              </w:rPr>
              <w:t>7 – дверь задняя левая</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187</w:t>
            </w:r>
          </w:p>
        </w:tc>
        <w:tc>
          <w:tcPr>
            <w:tcW w:w="15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250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186</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197</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jc w:val="center"/>
              <w:rPr>
                <w:b/>
                <w:b/>
                <w:color w:val="FF0000"/>
                <w:sz w:val="20"/>
                <w:szCs w:val="20"/>
              </w:rPr>
            </w:pPr>
            <w:r>
              <w:rPr>
                <w:b/>
                <w:color w:val="FF0000"/>
                <w:sz w:val="20"/>
                <w:szCs w:val="20"/>
              </w:rPr>
              <w:t>186</w:t>
            </w:r>
          </w:p>
        </w:tc>
      </w:tr>
    </w:tbl>
    <w:p>
      <w:pPr>
        <w:pStyle w:val="Normal"/>
        <w:ind w:firstLine="567"/>
        <w:jc w:val="both"/>
        <w:rPr/>
      </w:pPr>
      <w:r>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t>Исследования толщины ЛКП двери передней левой (фото №32-36)</w:t>
      </w:r>
    </w:p>
    <w:p>
      <w:pPr>
        <w:pStyle w:val="Normal"/>
        <w:tabs>
          <w:tab w:val="clear" w:pos="708"/>
          <w:tab w:val="left" w:pos="714" w:leader="none"/>
          <w:tab w:val="center" w:pos="5490" w:leader="none"/>
        </w:tabs>
        <w:spacing w:lineRule="auto" w:line="360"/>
        <w:ind w:left="142" w:hanging="142"/>
        <w:jc w:val="center"/>
        <w:rPr>
          <w:b/>
          <w:b/>
        </w:rPr>
      </w:pPr>
      <w:r>
        <w:rPr/>
        <mc:AlternateContent>
          <mc:Choice Requires="wps">
            <w:drawing>
              <wp:inline distT="0" distB="0" distL="0" distR="0">
                <wp:extent cx="3237865" cy="2428240"/>
                <wp:effectExtent l="0" t="0" r="0" b="0"/>
                <wp:docPr id="27"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5"/>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25"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28"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6"/>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26" o:detectmouseclick="t"/>
                <w10:wrap type="none"/>
                <v:stroke color="#3465a4" joinstyle="round" endcap="flat"/>
              </v:shape>
            </w:pict>
          </mc:Fallback>
        </mc:AlternateContent>
      </w:r>
    </w:p>
    <w:p>
      <w:pPr>
        <w:pStyle w:val="Normal"/>
        <w:tabs>
          <w:tab w:val="clear" w:pos="708"/>
          <w:tab w:val="left" w:pos="714" w:leader="none"/>
          <w:tab w:val="center" w:pos="5490" w:leader="none"/>
        </w:tabs>
        <w:spacing w:lineRule="auto" w:line="360"/>
        <w:ind w:left="142" w:hanging="142"/>
        <w:jc w:val="center"/>
        <w:rPr>
          <w:b/>
          <w:b/>
        </w:rPr>
      </w:pPr>
      <w:r>
        <w:rPr/>
        <mc:AlternateContent>
          <mc:Choice Requires="wps">
            <w:drawing>
              <wp:inline distT="0" distB="0" distL="0" distR="0">
                <wp:extent cx="3237865" cy="2428240"/>
                <wp:effectExtent l="0" t="0" r="0" b="0"/>
                <wp:docPr id="29"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7"/>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27"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30"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8"/>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28" o:detectmouseclick="t"/>
                <w10:wrap type="none"/>
                <v:stroke color="#3465a4" joinstyle="round" endcap="flat"/>
              </v:shape>
            </w:pict>
          </mc:Fallback>
        </mc:AlternateContent>
      </w:r>
    </w:p>
    <w:p>
      <w:pPr>
        <w:pStyle w:val="Normal"/>
        <w:ind w:firstLine="567"/>
        <w:jc w:val="center"/>
        <w:rPr/>
      </w:pPr>
      <w:r>
        <w:rPr/>
        <w:t>Фото №32-36. Исследование толщины ЛКП двери передней левой</w:t>
      </w:r>
    </w:p>
    <w:p>
      <w:pPr>
        <w:pStyle w:val="Normal"/>
        <w:tabs>
          <w:tab w:val="clear" w:pos="708"/>
          <w:tab w:val="left" w:pos="714" w:leader="none"/>
          <w:tab w:val="center" w:pos="5490" w:leader="none"/>
        </w:tabs>
        <w:spacing w:lineRule="auto" w:line="360"/>
        <w:ind w:left="142" w:hanging="142"/>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t xml:space="preserve">Исследования толщины ЛКП крыла переднего левого (фото №37-41)    </w:t>
      </w:r>
    </w:p>
    <w:p>
      <w:pPr>
        <w:pStyle w:val="Normal"/>
        <w:tabs>
          <w:tab w:val="clear" w:pos="708"/>
          <w:tab w:val="left" w:pos="714" w:leader="none"/>
          <w:tab w:val="center" w:pos="5490" w:leader="none"/>
        </w:tabs>
        <w:spacing w:lineRule="auto" w:line="360"/>
        <w:ind w:left="142" w:hanging="0"/>
        <w:jc w:val="center"/>
        <w:rPr>
          <w:b/>
          <w:b/>
        </w:rPr>
      </w:pPr>
      <w:r>
        <w:rPr/>
        <mc:AlternateContent>
          <mc:Choice Requires="wps">
            <w:drawing>
              <wp:inline distT="0" distB="0" distL="0" distR="0">
                <wp:extent cx="3237865" cy="2428240"/>
                <wp:effectExtent l="0" t="0" r="0" b="0"/>
                <wp:docPr id="31"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9"/>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29"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32"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30"/>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0" o:detectmouseclick="t"/>
                <w10:wrap type="none"/>
                <v:stroke color="#3465a4" joinstyle="round" endcap="flat"/>
              </v:shape>
            </w:pict>
          </mc:Fallback>
        </mc:AlternateContent>
      </w:r>
    </w:p>
    <w:p>
      <w:pPr>
        <w:pStyle w:val="Normal"/>
        <w:tabs>
          <w:tab w:val="clear" w:pos="708"/>
          <w:tab w:val="left" w:pos="714" w:leader="none"/>
          <w:tab w:val="center" w:pos="5490" w:leader="none"/>
        </w:tabs>
        <w:spacing w:lineRule="auto" w:line="360"/>
        <w:ind w:left="142" w:hanging="0"/>
        <w:jc w:val="center"/>
        <w:rPr>
          <w:b/>
          <w:b/>
        </w:rPr>
      </w:pPr>
      <w:r>
        <w:rPr/>
        <mc:AlternateContent>
          <mc:Choice Requires="wps">
            <w:drawing>
              <wp:inline distT="0" distB="0" distL="0" distR="0">
                <wp:extent cx="3237865" cy="2428240"/>
                <wp:effectExtent l="0" t="0" r="0" b="0"/>
                <wp:docPr id="33"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1"/>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1"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34" name=""/>
                <a:graphic xmlns:a="http://schemas.openxmlformats.org/drawingml/2006/main">
                  <a:graphicData uri="http://schemas.openxmlformats.org/drawingml/2006/picture">
                    <pic:pic xmlns:pic="http://schemas.openxmlformats.org/drawingml/2006/picture">
                      <pic:nvPicPr>
                        <pic:cNvPr id="29" name="" descr=""/>
                        <pic:cNvPicPr/>
                      </pic:nvPicPr>
                      <pic:blipFill>
                        <a:blip r:embed="rId32"/>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2" o:detectmouseclick="t"/>
                <w10:wrap type="none"/>
                <v:stroke color="#3465a4" joinstyle="round" endcap="flat"/>
              </v:shape>
            </w:pict>
          </mc:Fallback>
        </mc:AlternateContent>
      </w:r>
    </w:p>
    <w:p>
      <w:pPr>
        <w:pStyle w:val="Normal"/>
        <w:tabs>
          <w:tab w:val="clear" w:pos="708"/>
          <w:tab w:val="left" w:pos="714" w:leader="none"/>
          <w:tab w:val="center" w:pos="5490" w:leader="none"/>
        </w:tabs>
        <w:spacing w:lineRule="auto" w:line="360"/>
        <w:ind w:left="142" w:hanging="0"/>
        <w:jc w:val="center"/>
        <w:rPr>
          <w:b/>
          <w:b/>
        </w:rPr>
      </w:pPr>
      <w:r>
        <w:rPr/>
        <mc:AlternateContent>
          <mc:Choice Requires="wps">
            <w:drawing>
              <wp:inline distT="0" distB="0" distL="0" distR="0">
                <wp:extent cx="3237865" cy="2428240"/>
                <wp:effectExtent l="0" t="0" r="0" b="0"/>
                <wp:docPr id="35" name=""/>
                <a:graphic xmlns:a="http://schemas.openxmlformats.org/drawingml/2006/main">
                  <a:graphicData uri="http://schemas.openxmlformats.org/drawingml/2006/picture">
                    <pic:pic xmlns:pic="http://schemas.openxmlformats.org/drawingml/2006/picture">
                      <pic:nvPicPr>
                        <pic:cNvPr id="30" name="" descr=""/>
                        <pic:cNvPicPr/>
                      </pic:nvPicPr>
                      <pic:blipFill>
                        <a:blip r:embed="rId33"/>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3" o:detectmouseclick="t"/>
                <w10:wrap type="none"/>
                <v:stroke color="#3465a4" joinstyle="round" endcap="flat"/>
              </v:shape>
            </w:pict>
          </mc:Fallback>
        </mc:AlternateContent>
      </w:r>
    </w:p>
    <w:p>
      <w:pPr>
        <w:pStyle w:val="Normal"/>
        <w:tabs>
          <w:tab w:val="clear" w:pos="708"/>
          <w:tab w:val="left" w:pos="714" w:leader="none"/>
          <w:tab w:val="center" w:pos="5490" w:leader="none"/>
        </w:tabs>
        <w:spacing w:lineRule="auto" w:line="360"/>
        <w:ind w:left="142" w:hanging="0"/>
        <w:jc w:val="center"/>
        <w:rPr>
          <w:b/>
          <w:b/>
        </w:rPr>
      </w:pPr>
      <w:r>
        <w:rPr/>
        <w:t>Фото №37-41. Исследование толщины ЛКП крыла переднего левого</w:t>
      </w:r>
    </w:p>
    <w:p>
      <w:pPr>
        <w:pStyle w:val="Normal"/>
        <w:jc w:val="center"/>
        <w:rPr>
          <w:b/>
          <w:b/>
        </w:rPr>
      </w:pPr>
      <w:r>
        <w:rPr>
          <w:b/>
        </w:rPr>
      </w:r>
    </w:p>
    <w:p>
      <w:pPr>
        <w:pStyle w:val="Normal"/>
        <w:tabs>
          <w:tab w:val="clear" w:pos="708"/>
          <w:tab w:val="left" w:pos="714" w:leader="none"/>
          <w:tab w:val="center" w:pos="5490" w:leader="none"/>
        </w:tabs>
        <w:spacing w:lineRule="auto" w:line="360"/>
        <w:ind w:left="142" w:firstLine="284"/>
        <w:jc w:val="center"/>
        <w:rPr>
          <w:b/>
          <w:b/>
        </w:rPr>
      </w:pPr>
      <w:r>
        <w:rPr>
          <w:b/>
        </w:rPr>
        <w:t xml:space="preserve">Исследования толщины ЛКП двери задней левой (фото №42-46)    </w:t>
      </w:r>
    </w:p>
    <w:p>
      <w:pPr>
        <w:pStyle w:val="Normal"/>
        <w:jc w:val="center"/>
        <w:rPr>
          <w:b/>
          <w:b/>
        </w:rPr>
      </w:pPr>
      <w:r>
        <w:rPr/>
        <mc:AlternateContent>
          <mc:Choice Requires="wps">
            <w:drawing>
              <wp:inline distT="0" distB="0" distL="0" distR="0">
                <wp:extent cx="3237865" cy="2428240"/>
                <wp:effectExtent l="0" t="0" r="0" b="0"/>
                <wp:docPr id="36" name=""/>
                <a:graphic xmlns:a="http://schemas.openxmlformats.org/drawingml/2006/main">
                  <a:graphicData uri="http://schemas.openxmlformats.org/drawingml/2006/picture">
                    <pic:pic xmlns:pic="http://schemas.openxmlformats.org/drawingml/2006/picture">
                      <pic:nvPicPr>
                        <pic:cNvPr id="31" name="" descr=""/>
                        <pic:cNvPicPr/>
                      </pic:nvPicPr>
                      <pic:blipFill>
                        <a:blip r:embed="rId34"/>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4"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37" name=""/>
                <a:graphic xmlns:a="http://schemas.openxmlformats.org/drawingml/2006/main">
                  <a:graphicData uri="http://schemas.openxmlformats.org/drawingml/2006/picture">
                    <pic:pic xmlns:pic="http://schemas.openxmlformats.org/drawingml/2006/picture">
                      <pic:nvPicPr>
                        <pic:cNvPr id="32" name="" descr=""/>
                        <pic:cNvPicPr/>
                      </pic:nvPicPr>
                      <pic:blipFill>
                        <a:blip r:embed="rId35"/>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5" o:detectmouseclick="t"/>
                <w10:wrap type="none"/>
                <v:stroke color="#3465a4" joinstyle="round" endcap="flat"/>
              </v:shape>
            </w:pict>
          </mc:Fallback>
        </mc:AlternateContent>
      </w:r>
    </w:p>
    <w:p>
      <w:pPr>
        <w:pStyle w:val="Normal"/>
        <w:jc w:val="center"/>
        <w:rPr>
          <w:b/>
          <w:b/>
        </w:rPr>
      </w:pPr>
      <w:r>
        <w:rPr/>
        <mc:AlternateContent>
          <mc:Choice Requires="wps">
            <w:drawing>
              <wp:inline distT="0" distB="0" distL="0" distR="0">
                <wp:extent cx="3237865" cy="2428240"/>
                <wp:effectExtent l="0" t="0" r="0" b="0"/>
                <wp:docPr id="38" name=""/>
                <a:graphic xmlns:a="http://schemas.openxmlformats.org/drawingml/2006/main">
                  <a:graphicData uri="http://schemas.openxmlformats.org/drawingml/2006/picture">
                    <pic:pic xmlns:pic="http://schemas.openxmlformats.org/drawingml/2006/picture">
                      <pic:nvPicPr>
                        <pic:cNvPr id="33" name="" descr=""/>
                        <pic:cNvPicPr/>
                      </pic:nvPicPr>
                      <pic:blipFill>
                        <a:blip r:embed="rId36"/>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6" o:detectmouseclick="t"/>
                <w10:wrap type="none"/>
                <v:stroke color="#3465a4" joinstyle="round" endcap="flat"/>
              </v:shape>
            </w:pict>
          </mc:Fallback>
        </mc:AlternateContent>
      </w:r>
      <w:r>
        <w:rPr/>
        <mc:AlternateContent>
          <mc:Choice Requires="wps">
            <w:drawing>
              <wp:inline distT="0" distB="0" distL="0" distR="0">
                <wp:extent cx="3237865" cy="2428240"/>
                <wp:effectExtent l="0" t="0" r="0" b="0"/>
                <wp:docPr id="39" name=""/>
                <a:graphic xmlns:a="http://schemas.openxmlformats.org/drawingml/2006/main">
                  <a:graphicData uri="http://schemas.openxmlformats.org/drawingml/2006/picture">
                    <pic:pic xmlns:pic="http://schemas.openxmlformats.org/drawingml/2006/picture">
                      <pic:nvPicPr>
                        <pic:cNvPr id="34" name="" descr=""/>
                        <pic:cNvPicPr/>
                      </pic:nvPicPr>
                      <pic:blipFill>
                        <a:blip r:embed="rId37"/>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7" o:detectmouseclick="t"/>
                <w10:wrap type="none"/>
                <v:stroke color="#3465a4" joinstyle="round" endcap="flat"/>
              </v:shape>
            </w:pict>
          </mc:Fallback>
        </mc:AlternateContent>
      </w:r>
    </w:p>
    <w:p>
      <w:pPr>
        <w:pStyle w:val="Normal"/>
        <w:jc w:val="center"/>
        <w:rPr>
          <w:b/>
          <w:b/>
        </w:rPr>
      </w:pPr>
      <w:r>
        <w:rPr/>
        <mc:AlternateContent>
          <mc:Choice Requires="wps">
            <w:drawing>
              <wp:inline distT="0" distB="0" distL="0" distR="0">
                <wp:extent cx="3237865" cy="2428240"/>
                <wp:effectExtent l="0" t="0" r="0" b="0"/>
                <wp:docPr id="40" name=""/>
                <a:graphic xmlns:a="http://schemas.openxmlformats.org/drawingml/2006/main">
                  <a:graphicData uri="http://schemas.openxmlformats.org/drawingml/2006/picture">
                    <pic:pic xmlns:pic="http://schemas.openxmlformats.org/drawingml/2006/picture">
                      <pic:nvPicPr>
                        <pic:cNvPr id="35" name="" descr=""/>
                        <pic:cNvPicPr/>
                      </pic:nvPicPr>
                      <pic:blipFill>
                        <a:blip r:embed="rId38"/>
                        <a:stretch/>
                      </pic:blipFill>
                      <pic:spPr>
                        <a:xfrm>
                          <a:off x="0" y="0"/>
                          <a:ext cx="3237120" cy="2427480"/>
                        </a:xfrm>
                        <a:prstGeom prst="rect">
                          <a:avLst/>
                        </a:prstGeom>
                        <a:ln>
                          <a:noFill/>
                        </a:ln>
                      </pic:spPr>
                    </pic:pic>
                  </a:graphicData>
                </a:graphic>
              </wp:inline>
            </w:drawing>
          </mc:Choice>
          <mc:Fallback>
            <w:pict>
              <v:shape id="shape_0" stroked="f" style="position:absolute;margin-left:0pt;margin-top:-191.2pt;width:254.85pt;height:191.1pt;mso-position-vertical:top" type="shapetype_75">
                <v:imagedata r:id="rId38" o:detectmouseclick="t"/>
                <w10:wrap type="none"/>
                <v:stroke color="#3465a4" joinstyle="round" endcap="flat"/>
              </v:shape>
            </w:pict>
          </mc:Fallback>
        </mc:AlternateContent>
      </w:r>
    </w:p>
    <w:p>
      <w:pPr>
        <w:pStyle w:val="Normal"/>
        <w:jc w:val="center"/>
        <w:rPr>
          <w:b/>
          <w:b/>
        </w:rPr>
      </w:pPr>
      <w:r>
        <w:rPr>
          <w:b/>
        </w:rPr>
      </w:r>
    </w:p>
    <w:p>
      <w:pPr>
        <w:pStyle w:val="Normal"/>
        <w:tabs>
          <w:tab w:val="clear" w:pos="708"/>
          <w:tab w:val="left" w:pos="714" w:leader="none"/>
          <w:tab w:val="center" w:pos="5490" w:leader="none"/>
        </w:tabs>
        <w:spacing w:lineRule="auto" w:line="360"/>
        <w:ind w:left="142" w:hanging="0"/>
        <w:jc w:val="center"/>
        <w:rPr>
          <w:b/>
          <w:b/>
        </w:rPr>
      </w:pPr>
      <w:r>
        <w:rPr/>
        <w:t>Фото №42-46. Исследование толщины ЛКП двери задней левой</w:t>
      </w:r>
    </w:p>
    <w:p>
      <w:pPr>
        <w:pStyle w:val="Normal"/>
        <w:jc w:val="center"/>
        <w:rPr>
          <w:b/>
          <w:b/>
        </w:rPr>
      </w:pPr>
      <w:r>
        <w:rPr>
          <w:b/>
        </w:rPr>
      </w:r>
    </w:p>
    <w:p>
      <w:pPr>
        <w:pStyle w:val="Normal"/>
        <w:jc w:val="center"/>
        <w:rPr>
          <w:b/>
          <w:b/>
        </w:rPr>
      </w:pPr>
      <w:r>
        <w:rPr>
          <w:b/>
        </w:rPr>
        <w:t>Результаты исследования толщины ЛКП</w:t>
      </w:r>
    </w:p>
    <w:p>
      <w:pPr>
        <w:pStyle w:val="Normal"/>
        <w:jc w:val="center"/>
        <w:rPr>
          <w:b/>
          <w:b/>
        </w:rPr>
      </w:pPr>
      <w:r>
        <w:rPr>
          <w:b/>
        </w:rPr>
      </w:r>
    </w:p>
    <w:p>
      <w:pPr>
        <w:pStyle w:val="Normal"/>
        <w:ind w:firstLine="567"/>
        <w:jc w:val="both"/>
        <w:rPr/>
      </w:pPr>
      <w:r>
        <w:rPr/>
        <w:t>В результате проведённого исследования толщина лакокрасочного покрытия автомобиля MERCEDES-BENZ A200, идентификационный номер (VIN) *******, 2019 года выпуска, государственный регистрационный знак *******, установлено:</w:t>
      </w:r>
    </w:p>
    <w:p>
      <w:pPr>
        <w:pStyle w:val="Normal"/>
        <w:ind w:firstLine="567"/>
        <w:jc w:val="both"/>
        <w:rPr/>
      </w:pPr>
      <w:r>
        <w:rPr/>
      </w:r>
    </w:p>
    <w:p>
      <w:pPr>
        <w:pStyle w:val="Normal"/>
        <w:ind w:firstLine="567"/>
        <w:jc w:val="both"/>
        <w:rPr/>
      </w:pPr>
      <w:r>
        <w:rPr/>
        <w:t>Дверь передняя левая имеет толщину лакокрасочного покрытия – 311-527 мкм.</w:t>
      </w:r>
    </w:p>
    <w:p>
      <w:pPr>
        <w:pStyle w:val="Normal"/>
        <w:ind w:firstLine="567"/>
        <w:jc w:val="both"/>
        <w:rPr/>
      </w:pPr>
      <w:r>
        <w:rPr/>
        <w:t>Крыло переднее левое имеет толщину лакокрасочного покрытия – 448-745 мкм.</w:t>
      </w:r>
    </w:p>
    <w:p>
      <w:pPr>
        <w:pStyle w:val="Normal"/>
        <w:ind w:firstLine="567"/>
        <w:jc w:val="both"/>
        <w:rPr/>
      </w:pPr>
      <w:r>
        <w:rPr/>
        <w:t>Дверь задняя левая имеет толщину лакокрасочного покрытия – 186-250 мкм.</w:t>
      </w:r>
    </w:p>
    <w:p>
      <w:pPr>
        <w:pStyle w:val="Normal"/>
        <w:ind w:firstLine="567"/>
        <w:jc w:val="both"/>
        <w:rPr/>
      </w:pPr>
      <w:r>
        <w:rPr/>
      </w:r>
    </w:p>
    <w:p>
      <w:pPr>
        <w:pStyle w:val="Normal"/>
        <w:ind w:firstLine="567"/>
        <w:jc w:val="both"/>
        <w:rPr/>
      </w:pPr>
      <w:r>
        <w:rPr/>
      </w:r>
    </w:p>
    <w:p>
      <w:pPr>
        <w:pStyle w:val="Normal"/>
        <w:ind w:firstLine="567"/>
        <w:jc w:val="both"/>
        <w:rPr/>
      </w:pPr>
      <w:r>
        <w:rPr/>
        <w:t>Исходя из вышеизложенного следует:</w:t>
      </w:r>
    </w:p>
    <w:p>
      <w:pPr>
        <w:pStyle w:val="Normal"/>
        <w:ind w:firstLine="567"/>
        <w:jc w:val="both"/>
        <w:rPr>
          <w:u w:val="single"/>
        </w:rPr>
      </w:pPr>
      <w:r>
        <w:rPr>
          <w:u w:val="single"/>
        </w:rPr>
        <w:t>- Дверь передняя левая – подвергалось ремонту с нанесением шпаклевки и последующей ремонтной окраске;</w:t>
      </w:r>
    </w:p>
    <w:p>
      <w:pPr>
        <w:pStyle w:val="Normal"/>
        <w:ind w:firstLine="567"/>
        <w:jc w:val="both"/>
        <w:rPr>
          <w:u w:val="single"/>
        </w:rPr>
      </w:pPr>
      <w:r>
        <w:rPr>
          <w:u w:val="single"/>
        </w:rPr>
        <w:t>- Крыло переднее левое – подвергалось ремонту с нанесением шпаклевки и последующей ремонтной окраске;</w:t>
      </w:r>
    </w:p>
    <w:p>
      <w:pPr>
        <w:pStyle w:val="Normal"/>
        <w:ind w:firstLine="567"/>
        <w:jc w:val="both"/>
        <w:rPr>
          <w:u w:val="single"/>
        </w:rPr>
      </w:pPr>
      <w:r>
        <w:rPr>
          <w:u w:val="single"/>
        </w:rPr>
        <w:t>- Дверь задняя левая – подвергалось ремонтной окраске;</w:t>
      </w:r>
    </w:p>
    <w:p>
      <w:pPr>
        <w:pStyle w:val="ListParagraph"/>
        <w:ind w:left="720" w:right="-84" w:hanging="0"/>
        <w:rPr>
          <w:sz w:val="24"/>
          <w:szCs w:val="24"/>
          <w:u w:val="single"/>
          <w:lang w:val="ru-RU"/>
        </w:rPr>
      </w:pPr>
      <w:r>
        <w:rPr>
          <w:sz w:val="24"/>
          <w:szCs w:val="24"/>
          <w:u w:val="single"/>
          <w:lang w:val="ru-RU"/>
        </w:rPr>
      </w:r>
    </w:p>
    <w:p>
      <w:pPr>
        <w:pStyle w:val="Normal"/>
        <w:ind w:firstLine="567"/>
        <w:jc w:val="both"/>
        <w:rPr/>
      </w:pPr>
      <w:r>
        <w:rPr/>
      </w:r>
    </w:p>
    <w:p>
      <w:pPr>
        <w:pStyle w:val="Normal"/>
        <w:ind w:firstLine="567"/>
        <w:jc w:val="both"/>
        <w:rPr/>
      </w:pPr>
      <w:r>
        <w:rPr/>
      </w:r>
    </w:p>
    <w:p>
      <w:pPr>
        <w:pStyle w:val="Normal"/>
        <w:ind w:firstLine="567"/>
        <w:jc w:val="both"/>
        <w:rPr/>
      </w:pPr>
      <w:r>
        <w:rPr/>
      </w:r>
    </w:p>
    <w:p>
      <w:pPr>
        <w:pStyle w:val="Normal"/>
        <w:ind w:firstLine="567"/>
        <w:jc w:val="both"/>
        <w:rPr/>
      </w:pPr>
      <w:r>
        <w:rPr/>
      </w:r>
    </w:p>
    <w:p>
      <w:pPr>
        <w:pStyle w:val="Normal"/>
        <w:jc w:val="center"/>
        <w:rPr>
          <w:b/>
          <w:b/>
        </w:rPr>
      </w:pPr>
      <w:r>
        <w:rPr>
          <w:b/>
        </w:rPr>
        <w:t>Результаты исследования</w:t>
      </w:r>
    </w:p>
    <w:p>
      <w:pPr>
        <w:pStyle w:val="Normal"/>
        <w:jc w:val="center"/>
        <w:rPr>
          <w:b/>
          <w:b/>
        </w:rPr>
      </w:pPr>
      <w:r>
        <w:rPr>
          <w:b/>
        </w:rPr>
      </w:r>
    </w:p>
    <w:p>
      <w:pPr>
        <w:pStyle w:val="Normal"/>
        <w:ind w:firstLine="567"/>
        <w:jc w:val="both"/>
        <w:rPr/>
      </w:pPr>
      <w:r>
        <w:rPr/>
        <w:t>В результате проведённого исследования установлено, что автомобиль MERCEDES-BENZ A200, идентификационный номер (VIN) *******, 2019 года выпуска, регистрационный знак ******* имеет недостатки/дефекты восстановительного ремонта в результате выполненных работ на СТОА ООО «КСО МОТОРС» по направлению на ремонт 195483/22 ООО «СК «Согласие», а именно:</w:t>
      </w:r>
    </w:p>
    <w:p>
      <w:pPr>
        <w:pStyle w:val="Normal"/>
        <w:ind w:firstLine="567"/>
        <w:jc w:val="both"/>
        <w:rPr/>
      </w:pPr>
      <w:r>
        <w:rPr/>
      </w:r>
    </w:p>
    <w:p>
      <w:pPr>
        <w:pStyle w:val="Normal"/>
        <w:ind w:firstLine="567"/>
        <w:jc w:val="both"/>
        <w:rPr>
          <w:u w:val="single"/>
        </w:rPr>
      </w:pPr>
      <w:r>
        <w:rPr>
          <w:u w:val="single"/>
        </w:rPr>
        <w:t>-Бампер передний – произведена не качественная окраска.</w:t>
      </w:r>
    </w:p>
    <w:p>
      <w:pPr>
        <w:pStyle w:val="Normal"/>
        <w:ind w:firstLine="567"/>
        <w:jc w:val="both"/>
        <w:rPr>
          <w:u w:val="single"/>
        </w:rPr>
      </w:pPr>
      <w:r>
        <w:rPr>
          <w:u w:val="single"/>
        </w:rPr>
        <w:t>- Фара левая – не заменена, выполнен не качественный ремонт креплений.</w:t>
      </w:r>
    </w:p>
    <w:p>
      <w:pPr>
        <w:pStyle w:val="Normal"/>
        <w:ind w:firstLine="567"/>
        <w:jc w:val="both"/>
        <w:rPr>
          <w:u w:val="single"/>
        </w:rPr>
      </w:pPr>
      <w:r>
        <w:rPr>
          <w:u w:val="single"/>
        </w:rPr>
        <w:t>- Крыло переднее левое – данная деталь замена на бывшую в употреблении с последующей ремонтной окраской с нанесение шпаклевки.</w:t>
      </w:r>
    </w:p>
    <w:p>
      <w:pPr>
        <w:pStyle w:val="Normal"/>
        <w:ind w:firstLine="567"/>
        <w:jc w:val="both"/>
        <w:rPr>
          <w:u w:val="single"/>
        </w:rPr>
      </w:pPr>
      <w:r>
        <w:rPr>
          <w:u w:val="single"/>
        </w:rPr>
        <w:t>- Подкрылок передний левый – не заменен.</w:t>
      </w:r>
    </w:p>
    <w:p>
      <w:pPr>
        <w:pStyle w:val="Normal"/>
        <w:ind w:firstLine="567"/>
        <w:jc w:val="both"/>
        <w:rPr>
          <w:u w:val="single"/>
        </w:rPr>
      </w:pPr>
      <w:r>
        <w:rPr>
          <w:u w:val="single"/>
        </w:rPr>
        <w:t>- Дверь передняя левая - произведена не качественная окраска.</w:t>
      </w:r>
    </w:p>
    <w:p>
      <w:pPr>
        <w:pStyle w:val="Normal"/>
        <w:ind w:firstLine="567"/>
        <w:jc w:val="both"/>
        <w:rPr>
          <w:u w:val="single"/>
        </w:rPr>
      </w:pPr>
      <w:r>
        <w:rPr>
          <w:u w:val="single"/>
        </w:rPr>
        <w:t>- Диск колеса передний левый – окраска не произведена.</w:t>
      </w:r>
    </w:p>
    <w:p>
      <w:pPr>
        <w:pStyle w:val="Normal"/>
        <w:ind w:firstLine="567"/>
        <w:jc w:val="both"/>
        <w:rPr>
          <w:u w:val="single"/>
        </w:rPr>
      </w:pPr>
      <w:r>
        <w:rPr>
          <w:u w:val="single"/>
        </w:rPr>
        <w:t>- Дверь задняя левая – в акте осмотра отсутствуют повреждения данной детали, специалистами СТОА ООО «КСО МОТОРС» произведена не качественная окраска.</w:t>
      </w:r>
    </w:p>
    <w:p>
      <w:pPr>
        <w:pStyle w:val="Normal"/>
        <w:ind w:firstLine="567"/>
        <w:jc w:val="both"/>
        <w:rPr>
          <w:u w:val="single"/>
        </w:rPr>
      </w:pPr>
      <w:r>
        <w:rPr>
          <w:u w:val="single"/>
        </w:rPr>
        <w:t>- Абсорбер переднего бампера – не заменен.</w:t>
      </w:r>
    </w:p>
    <w:p>
      <w:pPr>
        <w:pStyle w:val="Normal"/>
        <w:ind w:firstLine="567"/>
        <w:jc w:val="both"/>
        <w:rPr>
          <w:u w:val="single"/>
        </w:rPr>
      </w:pPr>
      <w:r>
        <w:rPr>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t>Исследовательская часть по вопросу №2</w:t>
      </w:r>
    </w:p>
    <w:p>
      <w:pPr>
        <w:pStyle w:val="Normal"/>
        <w:jc w:val="center"/>
        <w:rPr>
          <w:b/>
          <w:b/>
          <w:sz w:val="28"/>
          <w:szCs w:val="28"/>
          <w:u w:val="single"/>
        </w:rPr>
      </w:pPr>
      <w:r>
        <w:rPr>
          <w:b/>
          <w:sz w:val="28"/>
          <w:szCs w:val="28"/>
          <w:u w:val="single"/>
        </w:rPr>
      </w:r>
    </w:p>
    <w:p>
      <w:pPr>
        <w:pStyle w:val="Normal"/>
        <w:ind w:right="-84" w:firstLine="708"/>
        <w:jc w:val="both"/>
        <w:rPr/>
      </w:pPr>
      <w:r>
        <w:rPr>
          <w:b/>
        </w:rPr>
        <w:t xml:space="preserve">Вопрос №2 </w:t>
      </w:r>
      <w:r>
        <w:rPr/>
        <w:t xml:space="preserve">Если да, то какова стоимость причиненного ущерба, в результате не качественного ремонта ТС </w:t>
      </w:r>
      <w:r>
        <w:rPr>
          <w:lang w:val="en-US"/>
        </w:rPr>
        <w:t>MERCEDES</w:t>
      </w:r>
      <w:r>
        <w:rPr/>
        <w:t>-</w:t>
      </w:r>
      <w:r>
        <w:rPr>
          <w:lang w:val="en-US"/>
        </w:rPr>
        <w:t>BENZ</w:t>
      </w:r>
      <w:r>
        <w:rPr/>
        <w:t xml:space="preserve"> </w:t>
      </w:r>
      <w:r>
        <w:rPr>
          <w:lang w:val="en-US"/>
        </w:rPr>
        <w:t>A</w:t>
      </w:r>
      <w:r>
        <w:rPr/>
        <w:t>200, идентификационный номер (VIN) *******, 2019 года выпуска, государственный регистрационный знак *******</w:t>
      </w:r>
    </w:p>
    <w:p>
      <w:pPr>
        <w:pStyle w:val="Normal"/>
        <w:ind w:right="-84" w:firstLine="708"/>
        <w:jc w:val="both"/>
        <w:rPr/>
      </w:pPr>
      <w:r>
        <w:rPr/>
      </w:r>
    </w:p>
    <w:p>
      <w:pPr>
        <w:pStyle w:val="Normal"/>
        <w:ind w:right="-84" w:firstLine="708"/>
        <w:jc w:val="both"/>
        <w:rPr/>
      </w:pPr>
      <w:r>
        <w:rPr/>
        <w:t>В процессе исследования по первому вопросу выявлены недостатки/дефекты:</w:t>
      </w:r>
    </w:p>
    <w:p>
      <w:pPr>
        <w:pStyle w:val="Normal"/>
        <w:ind w:right="-84" w:firstLine="708"/>
        <w:jc w:val="both"/>
        <w:rPr/>
      </w:pPr>
      <w:r>
        <w:rPr/>
      </w:r>
    </w:p>
    <w:p>
      <w:pPr>
        <w:pStyle w:val="Normal"/>
        <w:ind w:firstLine="567"/>
        <w:jc w:val="both"/>
        <w:rPr/>
      </w:pPr>
      <w:r>
        <w:rPr/>
        <w:t>-Бампер передний – произведена не качественная окраска.</w:t>
      </w:r>
    </w:p>
    <w:p>
      <w:pPr>
        <w:pStyle w:val="Normal"/>
        <w:ind w:firstLine="567"/>
        <w:jc w:val="both"/>
        <w:rPr/>
      </w:pPr>
      <w:r>
        <w:rPr/>
        <w:t>- Фара левая – не заменена, выполнен не качественный ремонт креплений.</w:t>
      </w:r>
    </w:p>
    <w:p>
      <w:pPr>
        <w:pStyle w:val="Normal"/>
        <w:ind w:firstLine="567"/>
        <w:jc w:val="both"/>
        <w:rPr/>
      </w:pPr>
      <w:r>
        <w:rPr/>
        <w:t>- Крыло переднее левое – данная деталь замена на бывшую в употреблении с последующей ремонтной окраской с нанесение шпаклевки.</w:t>
      </w:r>
    </w:p>
    <w:p>
      <w:pPr>
        <w:pStyle w:val="Normal"/>
        <w:ind w:firstLine="567"/>
        <w:jc w:val="both"/>
        <w:rPr/>
      </w:pPr>
      <w:r>
        <w:rPr/>
        <w:t>- Подкрылок передний левый – не заменен.</w:t>
      </w:r>
    </w:p>
    <w:p>
      <w:pPr>
        <w:pStyle w:val="Normal"/>
        <w:ind w:firstLine="567"/>
        <w:jc w:val="both"/>
        <w:rPr/>
      </w:pPr>
      <w:r>
        <w:rPr/>
        <w:t>- Дверь передняя левая - произведена не качественная окраска.</w:t>
      </w:r>
    </w:p>
    <w:p>
      <w:pPr>
        <w:pStyle w:val="Normal"/>
        <w:ind w:firstLine="567"/>
        <w:jc w:val="both"/>
        <w:rPr/>
      </w:pPr>
      <w:r>
        <w:rPr/>
        <w:t>- Диск колеса передний левый – окраска не произведена.</w:t>
      </w:r>
    </w:p>
    <w:p>
      <w:pPr>
        <w:pStyle w:val="Normal"/>
        <w:ind w:firstLine="567"/>
        <w:jc w:val="both"/>
        <w:rPr/>
      </w:pPr>
      <w:r>
        <w:rPr/>
        <w:t>- Дверь задняя левая – в акте осмотра отсутствуют повреждения данной детали, специалистами СТОА ООО «КСО МОТОРС» произведена не качественная окраска.</w:t>
      </w:r>
    </w:p>
    <w:p>
      <w:pPr>
        <w:pStyle w:val="Normal"/>
        <w:ind w:firstLine="567"/>
        <w:jc w:val="both"/>
        <w:rPr/>
      </w:pPr>
      <w:r>
        <w:rPr/>
        <w:t>- Абсорбер переднего бампера – не заменен.</w:t>
      </w:r>
    </w:p>
    <w:p>
      <w:pPr>
        <w:pStyle w:val="Normal"/>
        <w:ind w:right="-84" w:firstLine="708"/>
        <w:jc w:val="both"/>
        <w:rPr/>
      </w:pPr>
      <w:r>
        <w:rPr/>
      </w:r>
    </w:p>
    <w:p>
      <w:pPr>
        <w:pStyle w:val="Normal"/>
        <w:ind w:right="-84" w:firstLine="708"/>
        <w:jc w:val="both"/>
        <w:rPr/>
      </w:pPr>
      <w:r>
        <w:rPr/>
        <w:t>Для устранения данных недостатков/дефектов требуется:</w:t>
      </w:r>
    </w:p>
    <w:p>
      <w:pPr>
        <w:pStyle w:val="Normal"/>
        <w:ind w:right="-84" w:firstLine="708"/>
        <w:jc w:val="both"/>
        <w:rPr/>
      </w:pPr>
      <w:r>
        <w:rPr/>
      </w:r>
    </w:p>
    <w:p>
      <w:pPr>
        <w:pStyle w:val="Normal"/>
        <w:ind w:firstLine="567"/>
        <w:jc w:val="both"/>
        <w:rPr>
          <w:u w:val="single"/>
        </w:rPr>
      </w:pPr>
      <w:r>
        <w:rPr>
          <w:u w:val="single"/>
        </w:rPr>
        <w:t>-Бампер передний –окраска.</w:t>
      </w:r>
    </w:p>
    <w:p>
      <w:pPr>
        <w:pStyle w:val="Normal"/>
        <w:ind w:firstLine="567"/>
        <w:jc w:val="both"/>
        <w:rPr>
          <w:u w:val="single"/>
        </w:rPr>
      </w:pPr>
      <w:r>
        <w:rPr>
          <w:u w:val="single"/>
        </w:rPr>
        <w:t>- Фара левая – замена.</w:t>
      </w:r>
    </w:p>
    <w:p>
      <w:pPr>
        <w:pStyle w:val="Normal"/>
        <w:ind w:firstLine="567"/>
        <w:jc w:val="both"/>
        <w:rPr>
          <w:u w:val="single"/>
        </w:rPr>
      </w:pPr>
      <w:r>
        <w:rPr>
          <w:u w:val="single"/>
        </w:rPr>
        <w:t>- Крыло переднее левое – замена + окраска.</w:t>
      </w:r>
    </w:p>
    <w:p>
      <w:pPr>
        <w:pStyle w:val="Normal"/>
        <w:ind w:firstLine="567"/>
        <w:jc w:val="both"/>
        <w:rPr>
          <w:u w:val="single"/>
        </w:rPr>
      </w:pPr>
      <w:r>
        <w:rPr>
          <w:u w:val="single"/>
        </w:rPr>
        <w:t>- Подкрылок передний левый – замена.</w:t>
      </w:r>
    </w:p>
    <w:p>
      <w:pPr>
        <w:pStyle w:val="Normal"/>
        <w:ind w:firstLine="567"/>
        <w:jc w:val="both"/>
        <w:rPr>
          <w:u w:val="single"/>
        </w:rPr>
      </w:pPr>
      <w:r>
        <w:rPr>
          <w:u w:val="single"/>
        </w:rPr>
        <w:t>- Дверь передняя левая - окраска.</w:t>
      </w:r>
    </w:p>
    <w:p>
      <w:pPr>
        <w:pStyle w:val="Normal"/>
        <w:ind w:firstLine="567"/>
        <w:jc w:val="both"/>
        <w:rPr>
          <w:u w:val="single"/>
        </w:rPr>
      </w:pPr>
      <w:r>
        <w:rPr>
          <w:u w:val="single"/>
        </w:rPr>
        <w:t>- Диск колеса передний левый – окраска.</w:t>
      </w:r>
    </w:p>
    <w:p>
      <w:pPr>
        <w:pStyle w:val="Normal"/>
        <w:ind w:firstLine="567"/>
        <w:jc w:val="both"/>
        <w:rPr>
          <w:u w:val="single"/>
        </w:rPr>
      </w:pPr>
      <w:r>
        <w:rPr>
          <w:u w:val="single"/>
        </w:rPr>
        <w:t>- Дверь задняя левая – окраска.</w:t>
      </w:r>
    </w:p>
    <w:p>
      <w:pPr>
        <w:pStyle w:val="Normal"/>
        <w:ind w:firstLine="567"/>
        <w:jc w:val="both"/>
        <w:rPr>
          <w:u w:val="single"/>
        </w:rPr>
      </w:pPr>
      <w:r>
        <w:rPr>
          <w:u w:val="single"/>
        </w:rPr>
        <w:t>- Абсорбер переднего бампера – замена.</w:t>
      </w:r>
    </w:p>
    <w:p>
      <w:pPr>
        <w:pStyle w:val="111"/>
        <w:shd w:val="clear" w:color="auto" w:fill="auto"/>
        <w:spacing w:lineRule="auto" w:line="264"/>
        <w:ind w:firstLine="320"/>
        <w:jc w:val="both"/>
        <w:rPr>
          <w:b/>
          <w:b/>
          <w:sz w:val="24"/>
          <w:szCs w:val="24"/>
          <w:u w:val="single"/>
        </w:rPr>
      </w:pPr>
      <w:r>
        <w:rPr>
          <w:b/>
          <w:sz w:val="24"/>
          <w:szCs w:val="24"/>
          <w:u w:val="single"/>
        </w:rPr>
      </w:r>
    </w:p>
    <w:p>
      <w:pPr>
        <w:pStyle w:val="111"/>
        <w:shd w:val="clear" w:color="auto" w:fill="auto"/>
        <w:spacing w:lineRule="auto" w:line="264"/>
        <w:ind w:firstLine="320"/>
        <w:jc w:val="both"/>
        <w:rPr>
          <w:b/>
          <w:b/>
          <w:sz w:val="24"/>
          <w:szCs w:val="24"/>
        </w:rPr>
      </w:pPr>
      <w:r>
        <w:rPr>
          <w:b/>
          <w:sz w:val="24"/>
          <w:szCs w:val="24"/>
        </w:rPr>
      </w:r>
    </w:p>
    <w:p>
      <w:pPr>
        <w:pStyle w:val="Default1"/>
        <w:ind w:firstLine="567"/>
        <w:jc w:val="center"/>
        <w:rPr>
          <w:b/>
          <w:b/>
        </w:rPr>
      </w:pPr>
      <w:r>
        <w:rPr>
          <w:b/>
        </w:rPr>
        <w:t>Определение стоимости восстановительного ремонта</w:t>
      </w:r>
    </w:p>
    <w:p>
      <w:pPr>
        <w:pStyle w:val="Default1"/>
        <w:ind w:firstLine="567"/>
        <w:jc w:val="both"/>
        <w:rPr/>
      </w:pPr>
      <w:r>
        <w:rPr/>
      </w:r>
    </w:p>
    <w:p>
      <w:pPr>
        <w:pStyle w:val="111"/>
        <w:shd w:val="clear" w:color="auto" w:fill="auto"/>
        <w:spacing w:before="0" w:after="160"/>
        <w:ind w:firstLine="320"/>
        <w:jc w:val="both"/>
        <w:rPr>
          <w:b/>
          <w:b/>
          <w:sz w:val="24"/>
          <w:szCs w:val="24"/>
        </w:rPr>
      </w:pPr>
      <w:r>
        <w:rPr>
          <w:b/>
          <w:sz w:val="24"/>
          <w:szCs w:val="24"/>
        </w:rPr>
        <w:t>Стоимость восстановительного ремонта (С</w:t>
      </w:r>
      <w:r>
        <w:rPr>
          <w:b/>
          <w:sz w:val="24"/>
          <w:szCs w:val="24"/>
          <w:vertAlign w:val="subscript"/>
        </w:rPr>
        <w:t>вр</w:t>
      </w:r>
      <w:r>
        <w:rPr>
          <w:b/>
          <w:sz w:val="24"/>
          <w:szCs w:val="24"/>
        </w:rPr>
        <w:t>) КТС определяют по форму</w:t>
        <w:softHyphen/>
        <w:t>ле:</w:t>
      </w:r>
    </w:p>
    <w:p>
      <w:pPr>
        <w:pStyle w:val="111"/>
        <w:shd w:val="clear" w:color="auto" w:fill="auto"/>
        <w:spacing w:before="0" w:after="160"/>
        <w:ind w:firstLine="320"/>
        <w:jc w:val="center"/>
        <w:rPr>
          <w:sz w:val="24"/>
          <w:szCs w:val="24"/>
        </w:rPr>
      </w:pPr>
      <w:r>
        <w:rPr/>
        <w:drawing>
          <wp:inline distT="0" distB="0" distL="0" distR="0">
            <wp:extent cx="3314700" cy="725170"/>
            <wp:effectExtent l="0" t="0" r="0" b="0"/>
            <wp:docPr id="41"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8" descr=""/>
                    <pic:cNvPicPr>
                      <a:picLocks noChangeAspect="1" noChangeArrowheads="1"/>
                    </pic:cNvPicPr>
                  </pic:nvPicPr>
                  <pic:blipFill>
                    <a:blip r:embed="rId39"/>
                    <a:stretch>
                      <a:fillRect/>
                    </a:stretch>
                  </pic:blipFill>
                  <pic:spPr bwMode="auto">
                    <a:xfrm>
                      <a:off x="0" y="0"/>
                      <a:ext cx="3314700" cy="725170"/>
                    </a:xfrm>
                    <a:prstGeom prst="rect">
                      <a:avLst/>
                    </a:prstGeom>
                  </pic:spPr>
                </pic:pic>
              </a:graphicData>
            </a:graphic>
          </wp:inline>
        </w:drawing>
      </w:r>
    </w:p>
    <w:p>
      <w:pPr>
        <w:pStyle w:val="111"/>
        <w:shd w:val="clear" w:color="auto" w:fill="auto"/>
        <w:ind w:hanging="0"/>
        <w:jc w:val="both"/>
        <w:rPr>
          <w:sz w:val="24"/>
          <w:szCs w:val="24"/>
          <w:u w:val="single"/>
        </w:rPr>
      </w:pPr>
      <w:r>
        <w:rPr>
          <w:sz w:val="24"/>
          <w:szCs w:val="24"/>
        </w:rPr>
        <w:t xml:space="preserve">где </w:t>
      </w:r>
      <w:r>
        <w:rPr>
          <w:sz w:val="24"/>
          <w:szCs w:val="24"/>
          <w:u w:val="single"/>
        </w:rPr>
        <w:t>С</w:t>
      </w:r>
      <w:r>
        <w:rPr>
          <w:sz w:val="24"/>
          <w:szCs w:val="24"/>
          <w:u w:val="single"/>
          <w:vertAlign w:val="subscript"/>
        </w:rPr>
        <w:t>р</w:t>
      </w:r>
      <w:r>
        <w:rPr>
          <w:sz w:val="24"/>
          <w:szCs w:val="24"/>
          <w:u w:val="single"/>
        </w:rPr>
        <w:t xml:space="preserve"> - стоимость ремонтных работ по восстановлению КТС, руб.;</w:t>
      </w:r>
    </w:p>
    <w:p>
      <w:pPr>
        <w:pStyle w:val="111"/>
        <w:shd w:val="clear" w:color="auto" w:fill="auto"/>
        <w:ind w:firstLine="320"/>
        <w:jc w:val="both"/>
        <w:rPr>
          <w:sz w:val="24"/>
          <w:szCs w:val="24"/>
          <w:u w:val="single"/>
        </w:rPr>
      </w:pPr>
      <w:r>
        <w:rPr>
          <w:sz w:val="24"/>
          <w:szCs w:val="24"/>
          <w:u w:val="single"/>
        </w:rPr>
        <w:t>С</w:t>
      </w:r>
      <w:r>
        <w:rPr>
          <w:sz w:val="24"/>
          <w:szCs w:val="24"/>
          <w:u w:val="single"/>
          <w:vertAlign w:val="subscript"/>
        </w:rPr>
        <w:t>м</w:t>
      </w:r>
      <w:r>
        <w:rPr>
          <w:sz w:val="24"/>
          <w:szCs w:val="24"/>
          <w:u w:val="single"/>
        </w:rPr>
        <w:t xml:space="preserve"> - стоимость необходимых для ремонта материалов, руб.;</w:t>
      </w:r>
    </w:p>
    <w:p>
      <w:pPr>
        <w:pStyle w:val="111"/>
        <w:shd w:val="clear" w:color="auto" w:fill="auto"/>
        <w:ind w:firstLine="320"/>
        <w:jc w:val="both"/>
        <w:rPr>
          <w:sz w:val="24"/>
          <w:szCs w:val="24"/>
          <w:u w:val="single"/>
        </w:rPr>
      </w:pPr>
      <w:r>
        <w:rPr>
          <w:sz w:val="24"/>
          <w:szCs w:val="24"/>
          <w:u w:val="single"/>
        </w:rPr>
        <w:t>С</w:t>
      </w:r>
      <w:r>
        <w:rPr>
          <w:sz w:val="24"/>
          <w:szCs w:val="24"/>
          <w:u w:val="single"/>
          <w:vertAlign w:val="subscript"/>
        </w:rPr>
        <w:t>зч</w:t>
      </w:r>
      <w:r>
        <w:rPr>
          <w:sz w:val="24"/>
          <w:szCs w:val="24"/>
          <w:u w:val="single"/>
        </w:rPr>
        <w:t xml:space="preserve"> - стоимость новых запасных частей, руб.;</w:t>
      </w:r>
    </w:p>
    <w:p>
      <w:pPr>
        <w:pStyle w:val="111"/>
        <w:shd w:val="clear" w:color="auto" w:fill="auto"/>
        <w:ind w:firstLine="320"/>
        <w:jc w:val="both"/>
        <w:rPr>
          <w:sz w:val="24"/>
          <w:szCs w:val="24"/>
        </w:rPr>
      </w:pPr>
      <w:r>
        <w:rPr>
          <w:sz w:val="24"/>
          <w:szCs w:val="24"/>
        </w:rPr>
        <w:t>И - коэффициент износа составной части, подлежащей замене, %.</w: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jc w:val="center"/>
        <w:rPr>
          <w:b/>
          <w:b/>
          <w:sz w:val="24"/>
          <w:szCs w:val="24"/>
        </w:rPr>
      </w:pPr>
      <w:r>
        <w:rPr>
          <w:b/>
          <w:sz w:val="24"/>
          <w:szCs w:val="24"/>
        </w:rPr>
        <w:t>Определение износа запасных частей.</w:t>
      </w:r>
    </w:p>
    <w:p>
      <w:pPr>
        <w:pStyle w:val="111"/>
        <w:shd w:val="clear" w:color="auto" w:fill="auto"/>
        <w:tabs>
          <w:tab w:val="clear" w:pos="708"/>
          <w:tab w:val="left" w:pos="727" w:leader="none"/>
        </w:tabs>
        <w:spacing w:before="0" w:after="80"/>
        <w:ind w:left="320" w:hanging="0"/>
        <w:jc w:val="both"/>
        <w:rPr>
          <w:sz w:val="24"/>
          <w:szCs w:val="24"/>
        </w:rPr>
      </w:pPr>
      <w:r>
        <w:rPr>
          <w:sz w:val="24"/>
          <w:szCs w:val="24"/>
        </w:rPr>
      </w:r>
    </w:p>
    <w:p>
      <w:pPr>
        <w:pStyle w:val="111"/>
        <w:shd w:val="clear" w:color="auto" w:fill="auto"/>
        <w:ind w:firstLine="320"/>
        <w:jc w:val="both"/>
        <w:rPr>
          <w:sz w:val="24"/>
          <w:szCs w:val="24"/>
        </w:rPr>
      </w:pPr>
      <w:r>
        <w:rPr>
          <w:sz w:val="24"/>
          <w:szCs w:val="24"/>
        </w:rPr>
        <w:t>Остаточный ресурс КТС на момент происшествия влияет на выбор способа вос</w:t>
        <w:softHyphen/>
        <w:t>становления поврежденных составных частей, вид их ремонта. Применение технологий ремонта, снижающих ресурс составной части или КТС в целом по сравнению с другими способами ремонта, для КТС со сроком эксплуатации до 7 лет должно быть минимизировано.</w:t>
      </w:r>
    </w:p>
    <w:p>
      <w:pPr>
        <w:pStyle w:val="111"/>
        <w:shd w:val="clear" w:color="auto" w:fill="auto"/>
        <w:ind w:firstLine="320"/>
        <w:jc w:val="both"/>
        <w:rPr>
          <w:sz w:val="24"/>
          <w:szCs w:val="24"/>
        </w:rPr>
      </w:pPr>
      <w:r>
        <w:rPr>
          <w:sz w:val="24"/>
          <w:szCs w:val="24"/>
        </w:rPr>
        <w:tab/>
        <w:t>В общем случае износ характеризует изменения определенного пара</w:t>
        <w:softHyphen/>
        <w:t>метра (стоимости, эксплуатационных качеств и технических характеристик в виде посадок, зазоров, прочности, прозрачности и т. д.) или совокупности этих параметров относительно состояния, соответствующего новой состав</w:t>
        <w:softHyphen/>
        <w:t>ной части или КТС в целом. Износ, используемый для определения стоимости восстановительного ремонта, характеризует изменение стоимости составной части в зависимости от ее оставшегося ресурса.</w:t>
      </w:r>
    </w:p>
    <w:p>
      <w:pPr>
        <w:pStyle w:val="111"/>
        <w:shd w:val="clear" w:color="auto" w:fill="auto"/>
        <w:ind w:firstLine="320"/>
        <w:jc w:val="both"/>
        <w:rPr>
          <w:sz w:val="24"/>
          <w:szCs w:val="24"/>
        </w:rPr>
      </w:pPr>
      <w:r>
        <w:rPr>
          <w:sz w:val="24"/>
          <w:szCs w:val="24"/>
        </w:rPr>
        <w:t>Подлежит обязательному учету износ составных частей, нормативный ресурс которых меньше, чем ресурс КТС в целом, то есть тех составных ча</w:t>
        <w:softHyphen/>
        <w:t>стей, которые имеют постоянный нормальный износ и подлежат регулярной своевременной замене в соответствии с требованиями к эксплуатации транс</w:t>
        <w:softHyphen/>
        <w:t>портного средства.</w:t>
      </w:r>
    </w:p>
    <w:p>
      <w:pPr>
        <w:pStyle w:val="111"/>
        <w:shd w:val="clear" w:color="auto" w:fill="auto"/>
        <w:ind w:firstLine="320"/>
        <w:jc w:val="both"/>
        <w:rPr>
          <w:sz w:val="24"/>
          <w:szCs w:val="24"/>
        </w:rPr>
      </w:pPr>
      <w:r>
        <w:rPr>
          <w:sz w:val="24"/>
          <w:szCs w:val="24"/>
        </w:rPr>
        <w:t>При расчетах расходов на ремонт в целях возмещения восстановительного ремонта применение в качестве запасных частей подержанных составных ча</w:t>
        <w:softHyphen/>
        <w:t>стей с вторичного рынка не допускается. Исключение может составлять вос</w:t>
        <w:softHyphen/>
        <w:t>становление составных частей на специализированных предприятиях с пред</w:t>
        <w:softHyphen/>
        <w:t>усмотренным подтверждением качества ремонта.</w:t>
      </w:r>
    </w:p>
    <w:p>
      <w:pPr>
        <w:pStyle w:val="111"/>
        <w:shd w:val="clear" w:color="auto" w:fill="auto"/>
        <w:tabs>
          <w:tab w:val="clear" w:pos="708"/>
          <w:tab w:val="left" w:pos="692" w:leader="none"/>
        </w:tabs>
        <w:spacing w:before="0" w:after="60"/>
        <w:ind w:left="320" w:hanging="0"/>
        <w:jc w:val="both"/>
        <w:rPr>
          <w:sz w:val="24"/>
          <w:szCs w:val="24"/>
        </w:rPr>
      </w:pPr>
      <w:r>
        <w:rPr>
          <w:sz w:val="24"/>
          <w:szCs w:val="24"/>
        </w:rPr>
        <w:tab/>
      </w:r>
    </w:p>
    <w:p>
      <w:pPr>
        <w:pStyle w:val="111"/>
        <w:shd w:val="clear" w:color="auto" w:fill="auto"/>
        <w:tabs>
          <w:tab w:val="clear" w:pos="708"/>
          <w:tab w:val="left" w:pos="692" w:leader="none"/>
        </w:tabs>
        <w:spacing w:before="0" w:after="60"/>
        <w:ind w:left="320" w:hanging="0"/>
        <w:jc w:val="both"/>
        <w:rPr>
          <w:sz w:val="24"/>
          <w:szCs w:val="24"/>
        </w:rPr>
      </w:pPr>
      <w:r>
        <w:rPr>
          <w:sz w:val="24"/>
          <w:szCs w:val="24"/>
        </w:rPr>
        <w:t>Коэффициент износа составных частей (И) КТС (кроме автобусов и грузовых автомобилей) при определении стоимости восстановительного ре</w:t>
        <w:softHyphen/>
        <w:t>монта рассчитывается по формуле:</w:t>
      </w:r>
    </w:p>
    <w:p>
      <w:pPr>
        <w:pStyle w:val="111"/>
        <w:shd w:val="clear" w:color="auto" w:fill="auto"/>
        <w:tabs>
          <w:tab w:val="clear" w:pos="708"/>
          <w:tab w:val="left" w:pos="692" w:leader="none"/>
        </w:tabs>
        <w:spacing w:before="0" w:after="60"/>
        <w:ind w:left="320" w:hanging="0"/>
        <w:jc w:val="center"/>
        <w:rPr>
          <w:sz w:val="24"/>
          <w:szCs w:val="24"/>
        </w:rPr>
      </w:pPr>
      <w:r>
        <w:rPr/>
        <w:drawing>
          <wp:inline distT="0" distB="9525" distL="0" distR="0">
            <wp:extent cx="2228850" cy="390525"/>
            <wp:effectExtent l="0" t="0" r="0" b="0"/>
            <wp:docPr id="4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5" descr=""/>
                    <pic:cNvPicPr>
                      <a:picLocks noChangeAspect="1" noChangeArrowheads="1"/>
                    </pic:cNvPicPr>
                  </pic:nvPicPr>
                  <pic:blipFill>
                    <a:blip r:embed="rId40"/>
                    <a:stretch>
                      <a:fillRect/>
                    </a:stretch>
                  </pic:blipFill>
                  <pic:spPr bwMode="auto">
                    <a:xfrm>
                      <a:off x="0" y="0"/>
                      <a:ext cx="2228850" cy="390525"/>
                    </a:xfrm>
                    <a:prstGeom prst="rect">
                      <a:avLst/>
                    </a:prstGeom>
                  </pic:spPr>
                </pic:pic>
              </a:graphicData>
            </a:graphic>
          </wp:inline>
        </w:drawing>
      </w:r>
    </w:p>
    <w:p>
      <w:pPr>
        <w:pStyle w:val="111"/>
        <w:shd w:val="clear" w:color="auto" w:fill="auto"/>
        <w:spacing w:lineRule="auto" w:line="266"/>
        <w:ind w:hanging="0"/>
        <w:jc w:val="both"/>
        <w:rPr>
          <w:sz w:val="24"/>
          <w:szCs w:val="24"/>
        </w:rPr>
      </w:pPr>
      <w:r>
        <w:rPr>
          <w:sz w:val="24"/>
          <w:szCs w:val="24"/>
        </w:rPr>
        <w:t>где И</w:t>
      </w:r>
      <w:r>
        <w:rPr>
          <w:sz w:val="24"/>
          <w:szCs w:val="24"/>
          <w:vertAlign w:val="subscript"/>
        </w:rPr>
        <w:t>1</w:t>
      </w:r>
      <w:r>
        <w:rPr>
          <w:sz w:val="24"/>
          <w:szCs w:val="24"/>
          <w:lang w:bidi="en-US"/>
        </w:rPr>
        <w:t xml:space="preserve"> </w:t>
      </w:r>
      <w:r>
        <w:rPr>
          <w:sz w:val="24"/>
          <w:szCs w:val="24"/>
        </w:rPr>
        <w:t>- усредненный показатель износа на 1000 км пробега, %;</w:t>
      </w:r>
    </w:p>
    <w:p>
      <w:pPr>
        <w:pStyle w:val="111"/>
        <w:shd w:val="clear" w:color="auto" w:fill="auto"/>
        <w:spacing w:lineRule="auto" w:line="266"/>
        <w:ind w:firstLine="320"/>
        <w:jc w:val="both"/>
        <w:rPr>
          <w:sz w:val="24"/>
          <w:szCs w:val="24"/>
        </w:rPr>
      </w:pPr>
      <w:r>
        <w:rPr>
          <w:sz w:val="24"/>
          <w:szCs w:val="24"/>
        </w:rPr>
        <w:t>П - общий пробег (фактический или расчетный) за срок эксплуатации КТС, тыс. км;</w:t>
      </w:r>
    </w:p>
    <w:p>
      <w:pPr>
        <w:pStyle w:val="111"/>
        <w:shd w:val="clear" w:color="auto" w:fill="auto"/>
        <w:spacing w:lineRule="auto" w:line="266"/>
        <w:ind w:firstLine="320"/>
        <w:jc w:val="both"/>
        <w:rPr>
          <w:sz w:val="24"/>
          <w:szCs w:val="24"/>
        </w:rPr>
      </w:pPr>
      <w:r>
        <w:rPr>
          <w:sz w:val="24"/>
          <w:szCs w:val="24"/>
        </w:rPr>
        <w:t>И</w:t>
      </w:r>
      <w:r>
        <w:rPr>
          <w:sz w:val="24"/>
          <w:szCs w:val="24"/>
          <w:vertAlign w:val="subscript"/>
        </w:rPr>
        <w:t>2</w:t>
      </w:r>
      <w:r>
        <w:rPr>
          <w:sz w:val="24"/>
          <w:szCs w:val="24"/>
        </w:rPr>
        <w:t xml:space="preserve"> - усредненный показатель старения за 1 год эксплуатации, %;</w:t>
      </w:r>
    </w:p>
    <w:p>
      <w:pPr>
        <w:pStyle w:val="111"/>
        <w:shd w:val="clear" w:color="auto" w:fill="auto"/>
        <w:spacing w:lineRule="auto" w:line="266"/>
        <w:ind w:firstLine="320"/>
        <w:jc w:val="both"/>
        <w:rPr>
          <w:sz w:val="24"/>
          <w:szCs w:val="24"/>
        </w:rPr>
      </w:pPr>
      <w:r>
        <w:rPr>
          <w:i/>
          <w:iCs/>
          <w:sz w:val="24"/>
          <w:szCs w:val="24"/>
        </w:rPr>
        <w:t>Д -</w:t>
      </w:r>
      <w:r>
        <w:rPr>
          <w:sz w:val="24"/>
          <w:szCs w:val="24"/>
        </w:rPr>
        <w:t xml:space="preserve"> срок эксплуатации КТС (от даты изготовления КТС до момента, на который определяется износ), лет.</w:t>
      </w:r>
    </w:p>
    <w:p>
      <w:pPr>
        <w:pStyle w:val="111"/>
        <w:shd w:val="clear" w:color="auto" w:fill="auto"/>
        <w:spacing w:lineRule="auto" w:line="266"/>
        <w:ind w:firstLine="320"/>
        <w:jc w:val="both"/>
        <w:rPr>
          <w:sz w:val="24"/>
          <w:szCs w:val="24"/>
        </w:rPr>
      </w:pPr>
      <w:r>
        <w:rPr>
          <w:sz w:val="24"/>
          <w:szCs w:val="24"/>
        </w:rPr>
        <w:t>Если расчету подлежит износ составных частей КТС, прошедшего капи</w:t>
        <w:softHyphen/>
        <w:t>тальный ремонт, то параметры П и Д исчисляются от даты выпуска КТС после капитального ремонта.</w:t>
      </w:r>
    </w:p>
    <w:p>
      <w:pPr>
        <w:pStyle w:val="111"/>
        <w:shd w:val="clear" w:color="auto" w:fill="auto"/>
        <w:spacing w:lineRule="auto" w:line="266"/>
        <w:ind w:firstLine="320"/>
        <w:jc w:val="both"/>
        <w:rPr>
          <w:sz w:val="24"/>
          <w:szCs w:val="24"/>
        </w:rPr>
      </w:pPr>
      <w:r>
        <w:rPr>
          <w:sz w:val="24"/>
          <w:szCs w:val="24"/>
        </w:rPr>
        <w:t>Значения коэффициентов И</w:t>
      </w:r>
      <w:r>
        <w:rPr>
          <w:sz w:val="24"/>
          <w:szCs w:val="24"/>
          <w:vertAlign w:val="subscript"/>
        </w:rPr>
        <w:t>1</w:t>
      </w:r>
      <w:r>
        <w:rPr>
          <w:sz w:val="24"/>
          <w:szCs w:val="24"/>
        </w:rPr>
        <w:t xml:space="preserve"> и И</w:t>
      </w:r>
      <w:r>
        <w:rPr>
          <w:sz w:val="24"/>
          <w:szCs w:val="24"/>
          <w:vertAlign w:val="subscript"/>
        </w:rPr>
        <w:t>2</w:t>
      </w:r>
      <w:r>
        <w:rPr>
          <w:sz w:val="24"/>
          <w:szCs w:val="24"/>
        </w:rPr>
        <w:t xml:space="preserve"> для различных категорий и марок КТС приведены в приложении 2.4 к Методическим рекомендациям.</w: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tabs>
          <w:tab w:val="clear" w:pos="708"/>
          <w:tab w:val="left" w:pos="577" w:leader="none"/>
        </w:tabs>
        <w:jc w:val="both"/>
        <w:rPr>
          <w:sz w:val="24"/>
          <w:szCs w:val="24"/>
          <w:u w:val="single"/>
        </w:rPr>
      </w:pPr>
      <w:r>
        <w:rPr>
          <w:sz w:val="24"/>
          <w:szCs w:val="24"/>
          <w:u w:val="single"/>
        </w:rPr>
        <w:t>д)</w:t>
        <w:tab/>
        <w:t>в случаях, не регулируемых законодательством об ОСАГО, значение из</w:t>
        <w:softHyphen/>
        <w:t>носа принимается равным нулю для составных частей КТС, срок эксплуата</w:t>
        <w:softHyphen/>
        <w:t>ции которых не превышает 5 лет.</w: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ind w:firstLine="320"/>
        <w:jc w:val="both"/>
        <w:rPr>
          <w:b/>
          <w:b/>
          <w:sz w:val="24"/>
          <w:szCs w:val="24"/>
        </w:rPr>
      </w:pPr>
      <w:r>
        <w:rPr>
          <w:b/>
          <w:sz w:val="24"/>
          <w:szCs w:val="24"/>
        </w:rPr>
        <w:t>В нашем случае износ принимается 0 т.к. срок эксплуатации не превышает 5 лет.</w: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jc w:val="center"/>
        <w:rPr>
          <w:b/>
          <w:b/>
          <w:sz w:val="24"/>
          <w:szCs w:val="24"/>
        </w:rPr>
      </w:pPr>
      <w:r>
        <w:rPr>
          <w:b/>
          <w:sz w:val="24"/>
          <w:szCs w:val="24"/>
        </w:rPr>
        <w:t>Определение стоимости запасных частей.</w: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tabs>
          <w:tab w:val="clear" w:pos="708"/>
          <w:tab w:val="left" w:pos="793" w:leader="none"/>
        </w:tabs>
        <w:ind w:left="300" w:hanging="0"/>
        <w:jc w:val="both"/>
        <w:rPr>
          <w:sz w:val="24"/>
          <w:szCs w:val="24"/>
        </w:rPr>
      </w:pPr>
      <w:bookmarkStart w:id="4" w:name="_Hlk31288543"/>
      <w:r>
        <w:rPr>
          <w:sz w:val="24"/>
          <w:szCs w:val="24"/>
        </w:rPr>
        <w:t>Замена, как технологическая операция ремонта</w:t>
      </w:r>
      <w:bookmarkEnd w:id="4"/>
      <w:r>
        <w:rPr>
          <w:sz w:val="24"/>
          <w:szCs w:val="24"/>
        </w:rPr>
        <w:t>, предусматривает установку новой составной части (запасной части, компонента) вместо заме</w:t>
        <w:softHyphen/>
        <w:t>няемой.</w:t>
      </w:r>
    </w:p>
    <w:p>
      <w:pPr>
        <w:pStyle w:val="111"/>
        <w:shd w:val="clear" w:color="auto" w:fill="auto"/>
        <w:spacing w:lineRule="auto" w:line="264"/>
        <w:ind w:firstLine="320"/>
        <w:jc w:val="both"/>
        <w:rPr>
          <w:b/>
          <w:b/>
          <w:sz w:val="24"/>
          <w:szCs w:val="24"/>
        </w:rPr>
      </w:pPr>
      <w:r>
        <w:rPr>
          <w:b/>
          <w:sz w:val="24"/>
          <w:szCs w:val="24"/>
        </w:rPr>
      </w:r>
    </w:p>
    <w:p>
      <w:pPr>
        <w:pStyle w:val="Normal"/>
        <w:spacing w:before="120" w:after="0"/>
        <w:ind w:firstLine="708"/>
        <w:jc w:val="both"/>
        <w:rPr/>
      </w:pPr>
      <w:r>
        <w:rPr>
          <w:b/>
          <w:bCs/>
        </w:rPr>
        <w:t>В соответ</w:t>
        <w:softHyphen/>
        <w:t xml:space="preserve">ствии с п. 7.14 Методических рекомендаций применяются оригинальные запасные части, которые поставляются изготовителем КТС авторизованным ремонтникам в регионе. В соответствии с поставленным, перед экспертом, вопросом стоимость запасных частей в отношении поврежденного транспортного средства MERCEDES-BENZ A 200, регистрационный знак </w:t>
      </w:r>
      <w:r>
        <w:rPr>
          <w:b/>
          <w:bCs/>
          <w:color w:val="000000" w:themeColor="text1"/>
        </w:rPr>
        <w:t>*******</w:t>
      </w:r>
      <w:r>
        <w:rPr>
          <w:b/>
          <w:bCs/>
        </w:rPr>
        <w:t xml:space="preserve"> принята по интернет-источнику </w:t>
      </w:r>
      <w:hyperlink r:id="rId41">
        <w:r>
          <w:rPr>
            <w:rStyle w:val="Style12"/>
            <w:lang w:val="en-US"/>
          </w:rPr>
          <w:t>www</w:t>
        </w:r>
        <w:r>
          <w:rPr>
            <w:rStyle w:val="Style12"/>
          </w:rPr>
          <w:t>.</w:t>
        </w:r>
        <w:r>
          <w:rPr>
            <w:rStyle w:val="Style12"/>
            <w:lang w:val="en-US"/>
          </w:rPr>
          <w:t>emex</w:t>
        </w:r>
        <w:r>
          <w:rPr>
            <w:rStyle w:val="Style12"/>
          </w:rPr>
          <w:t>.</w:t>
        </w:r>
        <w:r>
          <w:rPr>
            <w:rStyle w:val="Style12"/>
            <w:lang w:val="en-US"/>
          </w:rPr>
          <w:t>ru</w:t>
        </w:r>
      </w:hyperlink>
      <w:r>
        <w:rPr>
          <w:b/>
          <w:bCs/>
        </w:rPr>
        <w:t xml:space="preserve"> выборка запасных частей указана ниже:</w:t>
      </w:r>
    </w:p>
    <w:p>
      <w:pPr>
        <w:pStyle w:val="111"/>
        <w:shd w:val="clear" w:color="auto" w:fill="auto"/>
        <w:spacing w:lineRule="auto" w:line="264"/>
        <w:ind w:hanging="142"/>
        <w:jc w:val="both"/>
        <w:rPr>
          <w:b/>
          <w:b/>
          <w:sz w:val="24"/>
          <w:szCs w:val="24"/>
        </w:rPr>
      </w:pPr>
      <w:r>
        <w:rPr/>
        <mc:AlternateContent>
          <mc:Choice Requires="wps">
            <w:drawing>
              <wp:inline distT="0" distB="0" distL="0" distR="0">
                <wp:extent cx="6569710" cy="4782820"/>
                <wp:effectExtent l="0" t="0" r="0" b="0"/>
                <wp:docPr id="43" name=""/>
                <a:graphic xmlns:a="http://schemas.openxmlformats.org/drawingml/2006/main">
                  <a:graphicData uri="http://schemas.openxmlformats.org/drawingml/2006/picture">
                    <pic:pic xmlns:pic="http://schemas.openxmlformats.org/drawingml/2006/picture">
                      <pic:nvPicPr>
                        <pic:cNvPr id="36" name="" descr=""/>
                        <pic:cNvPicPr/>
                      </pic:nvPicPr>
                      <pic:blipFill>
                        <a:blip r:embed="rId42"/>
                        <a:stretch/>
                      </pic:blipFill>
                      <pic:spPr>
                        <a:xfrm>
                          <a:off x="0" y="0"/>
                          <a:ext cx="6568920" cy="4782240"/>
                        </a:xfrm>
                        <a:prstGeom prst="rect">
                          <a:avLst/>
                        </a:prstGeom>
                        <a:ln>
                          <a:noFill/>
                        </a:ln>
                      </pic:spPr>
                    </pic:pic>
                  </a:graphicData>
                </a:graphic>
              </wp:inline>
            </w:drawing>
          </mc:Choice>
          <mc:Fallback>
            <w:pict>
              <v:shape id="shape_0" stroked="f" style="position:absolute;margin-left:0pt;margin-top:-376.6pt;width:517.2pt;height:376.5pt;mso-position-vertical:top" type="shapetype_75">
                <v:imagedata r:id="rId42" o:detectmouseclick="t"/>
                <w10:wrap type="none"/>
                <v:stroke color="#3465a4" joinstyle="round" endcap="flat"/>
              </v:shape>
            </w:pict>
          </mc:Fallback>
        </mc:AlternateContent>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jc w:val="center"/>
        <w:rPr>
          <w:b/>
          <w:b/>
          <w:sz w:val="24"/>
          <w:szCs w:val="24"/>
        </w:rPr>
      </w:pPr>
      <w:r>
        <w:rPr>
          <w:b/>
          <w:sz w:val="24"/>
          <w:szCs w:val="24"/>
        </w:rPr>
        <w:t>Определение стоимости расходных материалов.</w:t>
      </w:r>
    </w:p>
    <w:p>
      <w:pPr>
        <w:pStyle w:val="111"/>
        <w:shd w:val="clear" w:color="auto" w:fill="auto"/>
        <w:tabs>
          <w:tab w:val="clear" w:pos="708"/>
          <w:tab w:val="left" w:pos="802" w:leader="none"/>
        </w:tabs>
        <w:ind w:left="320" w:hanging="0"/>
        <w:jc w:val="both"/>
        <w:rPr>
          <w:sz w:val="24"/>
          <w:szCs w:val="24"/>
        </w:rPr>
      </w:pPr>
      <w:r>
        <w:rPr>
          <w:sz w:val="24"/>
          <w:szCs w:val="24"/>
        </w:rPr>
      </w:r>
    </w:p>
    <w:p>
      <w:pPr>
        <w:pStyle w:val="111"/>
        <w:shd w:val="clear" w:color="auto" w:fill="auto"/>
        <w:ind w:firstLine="320"/>
        <w:jc w:val="both"/>
        <w:rPr>
          <w:sz w:val="24"/>
          <w:szCs w:val="24"/>
        </w:rPr>
      </w:pPr>
      <w:r>
        <w:rPr>
          <w:sz w:val="24"/>
          <w:szCs w:val="24"/>
        </w:rPr>
        <w:t>Расчет стоимости необходимых для ремонта материалов включает в себя определение затрат на используемые при ремонте основные и вспомога</w:t>
        <w:softHyphen/>
        <w:t>тельные лакокрасочные материалы; материалы для противошумной и анти</w:t>
        <w:softHyphen/>
        <w:t>коррозионной обработки; материалы для изготовления ремонтных вставок, усилителей; масло, хладагенты, тормозные, охлаждающие и другие рабочие жидкости, обеспечивающие функционирование заменяемых или ремонтиру</w:t>
        <w:softHyphen/>
        <w:t>емых узлов и агрегатов; крепежные материалы.</w:t>
      </w:r>
    </w:p>
    <w:p>
      <w:pPr>
        <w:pStyle w:val="111"/>
        <w:shd w:val="clear" w:color="auto" w:fill="auto"/>
        <w:tabs>
          <w:tab w:val="clear" w:pos="708"/>
          <w:tab w:val="left" w:pos="798" w:leader="none"/>
        </w:tabs>
        <w:ind w:left="320" w:hanging="0"/>
        <w:jc w:val="both"/>
        <w:rPr>
          <w:sz w:val="24"/>
          <w:szCs w:val="24"/>
        </w:rPr>
      </w:pPr>
      <w:r>
        <w:rPr>
          <w:sz w:val="24"/>
          <w:szCs w:val="24"/>
        </w:rPr>
        <w:tab/>
        <w:t>Стоимость ЛКМ представляет собой стоимость затраченных при окраске КТС или их составных частей основных и вспомогательных матери</w:t>
        <w:softHyphen/>
        <w:t>алов.</w:t>
      </w:r>
    </w:p>
    <w:p>
      <w:pPr>
        <w:pStyle w:val="111"/>
        <w:shd w:val="clear" w:color="auto" w:fill="auto"/>
        <w:ind w:firstLine="320"/>
        <w:jc w:val="both"/>
        <w:rPr>
          <w:sz w:val="24"/>
          <w:szCs w:val="24"/>
        </w:rPr>
      </w:pPr>
      <w:r>
        <w:rPr>
          <w:sz w:val="24"/>
          <w:szCs w:val="24"/>
        </w:rPr>
        <w:t>К основным материалам относится материал, масса которого входит в массу основного изделия (краска, лаки, шпатлевка, грунт и т. д.). Вспомога</w:t>
        <w:softHyphen/>
        <w:t>тельные материалы при окраске - соответственно, материал, масса которого не входит в массу основного изделия (смывки, растворители, укрывочный ма</w:t>
        <w:softHyphen/>
        <w:t>териал и т. д.).</w:t>
      </w:r>
    </w:p>
    <w:p>
      <w:pPr>
        <w:pStyle w:val="111"/>
        <w:shd w:val="clear" w:color="auto" w:fill="auto"/>
        <w:ind w:firstLine="320"/>
        <w:jc w:val="both"/>
        <w:rPr>
          <w:sz w:val="24"/>
          <w:szCs w:val="24"/>
        </w:rPr>
      </w:pPr>
      <w:r>
        <w:rPr>
          <w:sz w:val="24"/>
          <w:szCs w:val="24"/>
        </w:rPr>
        <w:t>Затраты на ЛКМ должны учитывать особенности составной части: метал</w:t>
        <w:softHyphen/>
        <w:t>лическая или пластмассовая, новая или подвергавшаяся ремонту (с учетом площади этого ремонта).</w:t>
      </w:r>
    </w:p>
    <w:p>
      <w:pPr>
        <w:pStyle w:val="111"/>
        <w:shd w:val="clear" w:color="auto" w:fill="auto"/>
        <w:ind w:firstLine="320"/>
        <w:jc w:val="both"/>
        <w:rPr>
          <w:sz w:val="24"/>
          <w:szCs w:val="24"/>
        </w:rPr>
      </w:pPr>
      <w:r>
        <w:rPr>
          <w:sz w:val="24"/>
          <w:szCs w:val="24"/>
        </w:rPr>
        <w:t>Стоимость ЛКМ, используемых при восстановительном ремонте, может быть определена одним из следующих способов:</w:t>
      </w:r>
    </w:p>
    <w:p>
      <w:pPr>
        <w:pStyle w:val="111"/>
        <w:shd w:val="clear" w:color="auto" w:fill="auto"/>
        <w:ind w:left="300" w:hanging="300"/>
        <w:jc w:val="both"/>
        <w:rPr>
          <w:sz w:val="24"/>
          <w:szCs w:val="24"/>
        </w:rPr>
      </w:pPr>
      <w:r>
        <w:rPr>
          <w:sz w:val="24"/>
          <w:szCs w:val="24"/>
        </w:rPr>
        <w:t>- по нормам расхода материалов на единицу площади окрашиваемой по</w:t>
        <w:softHyphen/>
        <w:t>верхности, основанным на данных производителя лакокрасочных матери</w:t>
        <w:softHyphen/>
        <w:t>алов и площади окрашиваемой поверхности. Стоимость затрат на ЛКМ определяется произведением нормы расхода материалов в денежной фор</w:t>
        <w:softHyphen/>
        <w:t>ме на единицу окрашиваемой поверхности и площади окрашиваемой по</w:t>
        <w:softHyphen/>
        <w:t>верхности (составной части);</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по процентному соотношению стоимости материалов, необходимых для окраски и обработки КТС (его составных частей) к стоимости соответ</w:t>
        <w:softHyphen/>
        <w:t>ствующих работ по окраске;</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при невозможности расчета стоимости ЛКМ способами, указанными выше, допускается определение затрат ЛКМ (как правило, вместе с окра</w:t>
        <w:softHyphen/>
        <w:t>сочными работами) в денежной форме на одну кузовную составную часть.</w:t>
      </w:r>
    </w:p>
    <w:p>
      <w:pPr>
        <w:pStyle w:val="111"/>
        <w:shd w:val="clear" w:color="auto" w:fill="auto"/>
        <w:tabs>
          <w:tab w:val="clear" w:pos="708"/>
          <w:tab w:val="left" w:pos="788" w:leader="none"/>
        </w:tabs>
        <w:ind w:left="320" w:hanging="0"/>
        <w:jc w:val="both"/>
        <w:rPr>
          <w:sz w:val="24"/>
          <w:szCs w:val="24"/>
        </w:rPr>
      </w:pPr>
      <w:r>
        <w:rPr>
          <w:sz w:val="24"/>
          <w:szCs w:val="24"/>
        </w:rPr>
        <w:t>Расчет нормы расхода материалов в денежной форме на единицу пло</w:t>
        <w:softHyphen/>
        <w:t>щади окрашиваемой поверхности (удельная норма затрат ЛКМ на единицу окрашиваемой площади) производится по следующему алгоритму:</w:t>
      </w:r>
    </w:p>
    <w:p>
      <w:pPr>
        <w:pStyle w:val="111"/>
        <w:numPr>
          <w:ilvl w:val="0"/>
          <w:numId w:val="5"/>
        </w:numPr>
        <w:shd w:val="clear" w:color="auto" w:fill="auto"/>
        <w:tabs>
          <w:tab w:val="clear" w:pos="708"/>
          <w:tab w:val="left" w:pos="298" w:leader="none"/>
        </w:tabs>
        <w:jc w:val="both"/>
        <w:rPr>
          <w:sz w:val="24"/>
          <w:szCs w:val="24"/>
        </w:rPr>
      </w:pPr>
      <w:r>
        <w:rPr>
          <w:sz w:val="24"/>
          <w:szCs w:val="24"/>
        </w:rPr>
        <w:t>выбирается КТС с известной площадью наружной поверхности;</w:t>
      </w:r>
    </w:p>
    <w:p>
      <w:pPr>
        <w:pStyle w:val="111"/>
        <w:numPr>
          <w:ilvl w:val="0"/>
          <w:numId w:val="5"/>
        </w:numPr>
        <w:shd w:val="clear" w:color="auto" w:fill="auto"/>
        <w:tabs>
          <w:tab w:val="clear" w:pos="708"/>
          <w:tab w:val="left" w:pos="298" w:leader="none"/>
        </w:tabs>
        <w:jc w:val="both"/>
        <w:rPr>
          <w:sz w:val="24"/>
          <w:szCs w:val="24"/>
        </w:rPr>
      </w:pPr>
      <w:r>
        <w:rPr>
          <w:sz w:val="24"/>
          <w:szCs w:val="24"/>
        </w:rPr>
        <w:t>выбирается система наружной окраски КТС;</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определяется полный перечень основных и вспомогательных материалов в соответствии с выбранной системой наружной окраски КТС;</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устанавливаются нормы расхода компонентов окрасочной системы для наружной окраски КТС по данным производителя ЛКМ или изготовителя КТС;</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определяется стоимость единицы каждого материала окрасочной системы в регионе;</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перемножением норм расхода материала каждого компонента системы и его стоимости определяются затраты каждого компонента системы для наружной окраски КТС в денежном эквиваленте;</w:t>
      </w:r>
    </w:p>
    <w:p>
      <w:pPr>
        <w:pStyle w:val="111"/>
        <w:numPr>
          <w:ilvl w:val="0"/>
          <w:numId w:val="5"/>
        </w:numPr>
        <w:shd w:val="clear" w:color="auto" w:fill="auto"/>
        <w:tabs>
          <w:tab w:val="clear" w:pos="708"/>
          <w:tab w:val="left" w:pos="298" w:leader="none"/>
        </w:tabs>
        <w:ind w:left="300" w:hanging="300"/>
        <w:jc w:val="both"/>
        <w:rPr>
          <w:sz w:val="24"/>
          <w:szCs w:val="24"/>
        </w:rPr>
      </w:pPr>
      <w:r>
        <w:rPr>
          <w:sz w:val="24"/>
          <w:szCs w:val="24"/>
        </w:rPr>
        <w:t>делением суммы затрат всех материалов на наружную окраску КТС в де</w:t>
        <w:softHyphen/>
        <w:t>нежной форме на площадь наружной поверхности КТС получают удель</w:t>
        <w:softHyphen/>
        <w:t>ную норму затрат ЛКМ на единицу окрашиваемой площади в денежном эквиваленте.</w:t>
      </w:r>
    </w:p>
    <w:p>
      <w:pPr>
        <w:pStyle w:val="111"/>
        <w:shd w:val="clear" w:color="auto" w:fill="auto"/>
        <w:ind w:firstLine="320"/>
        <w:jc w:val="both"/>
        <w:rPr>
          <w:sz w:val="24"/>
          <w:szCs w:val="24"/>
        </w:rPr>
      </w:pPr>
      <w:r>
        <w:rPr>
          <w:sz w:val="24"/>
          <w:szCs w:val="24"/>
        </w:rPr>
        <w:t>По аналогичному алгоритму можно определить норму расхода для раз</w:t>
        <w:softHyphen/>
        <w:t>личных систем окраски (новых, отремонтированных на площади свыше 50 %, пластмассовых составных частей) поставщиков ЛКМ, представленных в ре</w:t>
        <w:softHyphen/>
        <w:t>гионе.</w:t>
      </w:r>
    </w:p>
    <w:p>
      <w:pPr>
        <w:pStyle w:val="111"/>
        <w:shd w:val="clear" w:color="auto" w:fill="auto"/>
        <w:tabs>
          <w:tab w:val="clear" w:pos="708"/>
          <w:tab w:val="left" w:pos="798" w:leader="none"/>
        </w:tabs>
        <w:ind w:left="320" w:hanging="0"/>
        <w:jc w:val="both"/>
        <w:rPr>
          <w:sz w:val="24"/>
          <w:szCs w:val="24"/>
        </w:rPr>
      </w:pPr>
      <w:r>
        <w:rPr>
          <w:sz w:val="24"/>
          <w:szCs w:val="24"/>
        </w:rPr>
        <w:tab/>
        <w:t>Удельные нормы затрат ЛКМ на единицу площади окрашиваемой по</w:t>
        <w:softHyphen/>
        <w:t>верхности могут подлежать самостоятельному расчету экспертом, исходя из выбранной системы окрашивания, стоимости материалов в регионе и нали</w:t>
        <w:softHyphen/>
        <w:t>чия данных о площади окрашиваемых элементов.</w:t>
      </w:r>
    </w:p>
    <w:p>
      <w:pPr>
        <w:pStyle w:val="111"/>
        <w:shd w:val="clear" w:color="auto" w:fill="auto"/>
        <w:ind w:firstLine="320"/>
        <w:jc w:val="both"/>
        <w:rPr>
          <w:sz w:val="24"/>
          <w:szCs w:val="24"/>
        </w:rPr>
      </w:pPr>
      <w:r>
        <w:rPr>
          <w:sz w:val="24"/>
          <w:szCs w:val="24"/>
        </w:rPr>
        <w:t>Удельные нормы затрат ЛКМ могут быть рекомендованы для применения экспертами в регионе на основании обобщенных расчетов, проведенных ре</w:t>
        <w:softHyphen/>
        <w:t>гиональными центрами судебной экспертизы.</w:t>
      </w:r>
    </w:p>
    <w:p>
      <w:pPr>
        <w:pStyle w:val="111"/>
        <w:shd w:val="clear" w:color="auto" w:fill="auto"/>
        <w:jc w:val="both"/>
        <w:rPr>
          <w:sz w:val="24"/>
          <w:szCs w:val="24"/>
        </w:rPr>
      </w:pPr>
      <w:r>
        <w:rPr>
          <w:sz w:val="24"/>
          <w:szCs w:val="24"/>
        </w:rPr>
        <w:t>В допущенных к применению для целей автотехнической экспертизы по специальности 13.4 программно-расчетных комплексах должен содержаться алгоритм расчета расхода материалов на единицу площади окрашиваемой поверхности. Эксперт, при необходимости, должен иметь возможность скор</w:t>
        <w:softHyphen/>
        <w:t>ректировать расход материалов окраски в программно-расчетных комплек</w:t>
        <w:softHyphen/>
        <w:t>сах с учетом цен, существующих в регионе, где определяется стоимость вос</w:t>
        <w:softHyphen/>
        <w:t>становительного ремонта.</w:t>
      </w:r>
    </w:p>
    <w:p>
      <w:pPr>
        <w:pStyle w:val="111"/>
        <w:shd w:val="clear" w:color="auto" w:fill="auto"/>
        <w:jc w:val="both"/>
        <w:rPr>
          <w:sz w:val="24"/>
          <w:szCs w:val="24"/>
        </w:rPr>
      </w:pPr>
      <w:r>
        <w:rPr>
          <w:sz w:val="24"/>
          <w:szCs w:val="24"/>
        </w:rPr>
        <w:t>Источником информации о затратах на окраску КТС (его составных ча</w:t>
        <w:softHyphen/>
        <w:t>стей) являются данные изготовителей КТС, производителей ЛКМ, справоч</w:t>
        <w:softHyphen/>
        <w:t>ная литература и компьютерные программы, разработанные по данным из</w:t>
        <w:softHyphen/>
        <w:t>готовителей КТС или производителей ЛКМ и приведенные в Примерном пе</w:t>
        <w:softHyphen/>
        <w:t>речне рекомендованных технических документов и источников информации, используемых для определения размера ущерба, стоимости восстановитель</w:t>
        <w:softHyphen/>
        <w:t>ного ремонта и оценки КТС.</w:t>
      </w:r>
    </w:p>
    <w:p>
      <w:pPr>
        <w:pStyle w:val="Normal"/>
        <w:spacing w:before="120" w:after="0"/>
        <w:ind w:firstLine="708"/>
        <w:jc w:val="both"/>
        <w:rPr>
          <w:b/>
          <w:b/>
          <w:bCs/>
        </w:rPr>
      </w:pPr>
      <w:r>
        <w:rPr>
          <w:b/>
          <w:bCs/>
        </w:rPr>
        <w:t>Стоимость расходных материалов в отношении поврежденного транспортного средства определена с использованием авторизованного программного продукта ПС КОМПЛЕКС с использованием системы ЛКП - STANDOX BASISLACK [грунт-2, краска-2, лак-1.5]</w:t>
      </w:r>
    </w:p>
    <w:p>
      <w:pPr>
        <w:pStyle w:val="Normal"/>
        <w:spacing w:before="120" w:after="0"/>
        <w:ind w:hanging="426"/>
        <w:jc w:val="both"/>
        <w:rPr>
          <w:b/>
          <w:b/>
          <w:bCs/>
        </w:rPr>
      </w:pPr>
      <w:r>
        <w:rPr/>
        <w:drawing>
          <wp:inline distT="0" distB="9525" distL="0" distR="0">
            <wp:extent cx="6400800" cy="1095375"/>
            <wp:effectExtent l="0" t="0" r="0" b="0"/>
            <wp:docPr id="44" name="Рисунок 26" descr="2023-03-03_16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6" descr="2023-03-03_160502"/>
                    <pic:cNvPicPr>
                      <a:picLocks noChangeAspect="1" noChangeArrowheads="1"/>
                    </pic:cNvPicPr>
                  </pic:nvPicPr>
                  <pic:blipFill>
                    <a:blip r:embed="rId43"/>
                    <a:stretch>
                      <a:fillRect/>
                    </a:stretch>
                  </pic:blipFill>
                  <pic:spPr bwMode="auto">
                    <a:xfrm>
                      <a:off x="0" y="0"/>
                      <a:ext cx="6400800" cy="1095375"/>
                    </a:xfrm>
                    <a:prstGeom prst="rect">
                      <a:avLst/>
                    </a:prstGeom>
                  </pic:spPr>
                </pic:pic>
              </a:graphicData>
            </a:graphic>
          </wp:inline>
        </w:drawing>
      </w:r>
    </w:p>
    <w:p>
      <w:pPr>
        <w:pStyle w:val="111"/>
        <w:shd w:val="clear" w:color="auto" w:fill="auto"/>
        <w:spacing w:lineRule="auto" w:line="264"/>
        <w:ind w:firstLine="320"/>
        <w:jc w:val="both"/>
        <w:rPr>
          <w:b/>
          <w:b/>
          <w:sz w:val="24"/>
          <w:szCs w:val="24"/>
        </w:rPr>
      </w:pPr>
      <w:r>
        <w:rPr>
          <w:b/>
          <w:sz w:val="24"/>
          <w:szCs w:val="24"/>
        </w:rPr>
      </w:r>
    </w:p>
    <w:p>
      <w:pPr>
        <w:pStyle w:val="111"/>
        <w:shd w:val="clear" w:color="auto" w:fill="auto"/>
        <w:spacing w:lineRule="auto" w:line="264"/>
        <w:jc w:val="center"/>
        <w:rPr>
          <w:b/>
          <w:b/>
          <w:sz w:val="24"/>
          <w:szCs w:val="24"/>
        </w:rPr>
      </w:pPr>
      <w:r>
        <w:rPr>
          <w:b/>
          <w:sz w:val="24"/>
          <w:szCs w:val="24"/>
        </w:rPr>
        <w:t>Определение стоимости ремонтных работ.</w:t>
      </w:r>
    </w:p>
    <w:p>
      <w:pPr>
        <w:pStyle w:val="111"/>
        <w:shd w:val="clear" w:color="auto" w:fill="auto"/>
        <w:tabs>
          <w:tab w:val="clear" w:pos="708"/>
          <w:tab w:val="left" w:pos="798" w:leader="none"/>
        </w:tabs>
        <w:ind w:left="320" w:hanging="0"/>
        <w:jc w:val="both"/>
        <w:rPr>
          <w:sz w:val="24"/>
          <w:szCs w:val="24"/>
        </w:rPr>
      </w:pPr>
      <w:r>
        <w:rPr>
          <w:sz w:val="24"/>
          <w:szCs w:val="24"/>
        </w:rPr>
      </w:r>
    </w:p>
    <w:p>
      <w:pPr>
        <w:pStyle w:val="Normal"/>
        <w:ind w:firstLine="709"/>
        <w:jc w:val="both"/>
        <w:rPr>
          <w:szCs w:val="28"/>
        </w:rPr>
      </w:pPr>
      <w:r>
        <w:rPr/>
        <w:tab/>
      </w:r>
      <w:r>
        <w:rPr>
          <w:szCs w:val="28"/>
        </w:rPr>
        <w:t>В соответствии с Методическими рекомендациями:</w:t>
      </w:r>
    </w:p>
    <w:p>
      <w:pPr>
        <w:pStyle w:val="Normal"/>
        <w:ind w:firstLine="709"/>
        <w:jc w:val="both"/>
        <w:rPr>
          <w:szCs w:val="28"/>
        </w:rPr>
      </w:pPr>
      <w:r>
        <w:rPr>
          <w:szCs w:val="28"/>
        </w:rPr>
        <w:t>7.41. Стоимость нормо-часа определяется на основании утвержденных тарифов по ремонту и обслуживанию КТС исследуемой марки по данным находящихся в регионе авторизованных исполнителей ремонта и неавторизованных ремонтников, имеющих необходимое оборудование, оснастку, квалифицированный персонал и выполняющих все необходимые виды работ в соответствии с нормативами изготовителя исследуемой марки КТС. Если восстановительный ремонт или отдельные виды ремонтных работ могут быть выполнены на находящихся в регионе специализированных авторемонтных предприятиях и СТОА, то их тарифы включаются в репрезентативную выборку.</w:t>
      </w:r>
    </w:p>
    <w:p>
      <w:pPr>
        <w:pStyle w:val="Normal"/>
        <w:ind w:firstLine="709"/>
        <w:jc w:val="both"/>
        <w:rPr>
          <w:szCs w:val="28"/>
        </w:rPr>
      </w:pPr>
      <w:r>
        <w:rPr>
          <w:szCs w:val="28"/>
        </w:rPr>
        <w:t>Допускается использование данных, находящихся в свободном доступе (сайты сети Интернет, сборники, справочники и т.д.), а также ЗАКАЗ-НАРЯДЫ СТОА. При использовании таких данных обязательно указание исполнителя ремонта (наименование, адрес и телефон), адрес его сайта в сети Интернет.</w:t>
      </w:r>
    </w:p>
    <w:p>
      <w:pPr>
        <w:pStyle w:val="Normal"/>
        <w:ind w:firstLine="709"/>
        <w:jc w:val="both"/>
        <w:rPr>
          <w:szCs w:val="28"/>
        </w:rPr>
      </w:pPr>
      <w:r>
        <w:rPr>
          <w:szCs w:val="28"/>
        </w:rPr>
        <w:t>Стоимость нормо-часа устанавливается на дату определения стоимости восстановительного ремонта и должна соответствовать расценкам, применяемым для физических лиц за наличный расчет, без акций и персональных скидок, прочих особых условий.</w:t>
      </w:r>
    </w:p>
    <w:p>
      <w:pPr>
        <w:pStyle w:val="Normal"/>
        <w:ind w:firstLine="709"/>
        <w:jc w:val="both"/>
        <w:rPr>
          <w:szCs w:val="28"/>
        </w:rPr>
      </w:pPr>
      <w:r>
        <w:rPr>
          <w:szCs w:val="28"/>
        </w:rPr>
        <w:t>7.42. Средняя региональная стоимость нормо-часа ремонтных работ определяется раздельно для:</w:t>
      </w:r>
    </w:p>
    <w:p>
      <w:pPr>
        <w:pStyle w:val="Normal"/>
        <w:ind w:firstLine="709"/>
        <w:jc w:val="both"/>
        <w:rPr>
          <w:szCs w:val="28"/>
        </w:rPr>
      </w:pPr>
      <w:r>
        <w:rPr>
          <w:szCs w:val="28"/>
        </w:rPr>
        <w:t>- авторизованных исполнителей ремонта. Ее значения применяются для КТС, находящихся на гарантийном периоде эксплуатации и (или) проходящих техническое обслуживание у авторизованного ремонтника;</w:t>
      </w:r>
    </w:p>
    <w:p>
      <w:pPr>
        <w:pStyle w:val="Normal"/>
        <w:ind w:firstLine="709"/>
        <w:jc w:val="both"/>
        <w:rPr>
          <w:szCs w:val="28"/>
        </w:rPr>
      </w:pPr>
      <w:r>
        <w:rPr>
          <w:szCs w:val="28"/>
        </w:rPr>
        <w:t>- неавторизованных ремонтников и специализированных авторемонтных предприятий и СТОА. Ее значения применяются для КТС, имеющих срок эксплуатации, превышающий граничный;</w:t>
      </w:r>
    </w:p>
    <w:p>
      <w:pPr>
        <w:pStyle w:val="Normal"/>
        <w:ind w:firstLine="709"/>
        <w:jc w:val="both"/>
        <w:rPr>
          <w:szCs w:val="28"/>
        </w:rPr>
      </w:pPr>
      <w:r>
        <w:rPr>
          <w:szCs w:val="28"/>
        </w:rPr>
        <w:t>- всей репрезентативной выборки. Ее значения применяются для всех остальных КТС.</w:t>
      </w:r>
    </w:p>
    <w:p>
      <w:pPr>
        <w:pStyle w:val="Normal"/>
        <w:ind w:firstLine="709"/>
        <w:jc w:val="both"/>
        <w:rPr>
          <w:szCs w:val="28"/>
        </w:rPr>
      </w:pPr>
      <w:r>
        <w:rPr>
          <w:szCs w:val="28"/>
        </w:rPr>
        <w:t>Рекомендуемое минимальное количество выборки в расчете региональной стоимости нормо-часа по каждой из приведенных групп исполнителей ремонта составляет не менее 5. Если в регионе нет такого количества исполнителей ремонта, используются данные имеющихся ремонтников (ремонтника).</w:t>
      </w:r>
    </w:p>
    <w:tbl>
      <w:tblPr>
        <w:tblW w:w="5000" w:type="pct"/>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noVBand="1" w:noHBand="0" w:lastColumn="0" w:firstColumn="1" w:lastRow="0" w:firstRow="1"/>
      </w:tblPr>
      <w:tblGrid>
        <w:gridCol w:w="1710"/>
        <w:gridCol w:w="2835"/>
        <w:gridCol w:w="1619"/>
        <w:gridCol w:w="1396"/>
        <w:gridCol w:w="1508"/>
        <w:gridCol w:w="1279"/>
      </w:tblGrid>
      <w:tr>
        <w:trPr>
          <w:trHeight w:val="20" w:hRule="atLeast"/>
        </w:trPr>
        <w:tc>
          <w:tcPr>
            <w:tcW w:w="10347"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 xml:space="preserve">Нормочасы на ремонт </w:t>
            </w:r>
          </w:p>
        </w:tc>
      </w:tr>
      <w:tr>
        <w:trPr>
          <w:trHeight w:val="20" w:hRule="atLeast"/>
        </w:trPr>
        <w:tc>
          <w:tcPr>
            <w:tcW w:w="10347"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color w:val="000000"/>
                <w:sz w:val="16"/>
                <w:szCs w:val="16"/>
              </w:rPr>
            </w:pPr>
            <w:r>
              <w:rPr>
                <w:color w:val="000000"/>
                <w:sz w:val="16"/>
                <w:szCs w:val="16"/>
              </w:rPr>
              <w:t> </w:t>
            </w:r>
          </w:p>
        </w:tc>
      </w:tr>
      <w:tr>
        <w:trPr>
          <w:trHeight w:val="20" w:hRule="atLeast"/>
        </w:trPr>
        <w:tc>
          <w:tcPr>
            <w:tcW w:w="1710" w:type="dxa"/>
            <w:tcBorders>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Наименование</w:t>
            </w:r>
          </w:p>
        </w:tc>
        <w:tc>
          <w:tcPr>
            <w:tcW w:w="2835"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Телефон, Веб-сайт, Адрес</w:t>
            </w:r>
          </w:p>
        </w:tc>
        <w:tc>
          <w:tcPr>
            <w:tcW w:w="5802" w:type="dxa"/>
            <w:gridSpan w:val="4"/>
            <w:tcBorders>
              <w:top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Виды работ и стоимость нормо-часа</w:t>
            </w:r>
          </w:p>
        </w:tc>
      </w:tr>
      <w:tr>
        <w:trPr>
          <w:trHeight w:val="20" w:hRule="atLeast"/>
        </w:trPr>
        <w:tc>
          <w:tcPr>
            <w:tcW w:w="1710" w:type="dxa"/>
            <w:tcBorders>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автосервиса</w:t>
            </w:r>
          </w:p>
        </w:tc>
        <w:tc>
          <w:tcPr>
            <w:tcW w:w="2835"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b/>
                <w:b/>
                <w:bCs/>
                <w:color w:val="FFFFFF"/>
                <w:sz w:val="16"/>
                <w:szCs w:val="16"/>
              </w:rPr>
            </w:pPr>
            <w:r>
              <w:rPr>
                <w:b/>
                <w:bCs/>
                <w:color w:val="FFFFFF"/>
                <w:sz w:val="16"/>
                <w:szCs w:val="16"/>
              </w:rPr>
            </w:r>
          </w:p>
        </w:tc>
        <w:tc>
          <w:tcPr>
            <w:tcW w:w="1619"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Слесарно-</w:t>
            </w:r>
          </w:p>
        </w:tc>
        <w:tc>
          <w:tcPr>
            <w:tcW w:w="1396"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Электро-</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Арматурные</w:t>
            </w:r>
          </w:p>
        </w:tc>
        <w:tc>
          <w:tcPr>
            <w:tcW w:w="1279"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Кузовные </w:t>
            </w:r>
          </w:p>
        </w:tc>
      </w:tr>
      <w:tr>
        <w:trPr>
          <w:trHeight w:val="20" w:hRule="atLeast"/>
        </w:trPr>
        <w:tc>
          <w:tcPr>
            <w:tcW w:w="1710" w:type="dxa"/>
            <w:tcBorders>
              <w:left w:val="single" w:sz="4" w:space="0" w:color="000000"/>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 </w:t>
            </w:r>
          </w:p>
        </w:tc>
        <w:tc>
          <w:tcPr>
            <w:tcW w:w="2835"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b/>
                <w:b/>
                <w:bCs/>
                <w:color w:val="FFFFFF"/>
                <w:sz w:val="16"/>
                <w:szCs w:val="16"/>
              </w:rPr>
            </w:pPr>
            <w:r>
              <w:rPr>
                <w:b/>
                <w:bCs/>
                <w:color w:val="FFFFFF"/>
                <w:sz w:val="16"/>
                <w:szCs w:val="16"/>
              </w:rPr>
            </w:r>
          </w:p>
        </w:tc>
        <w:tc>
          <w:tcPr>
            <w:tcW w:w="1619"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механические</w:t>
            </w:r>
          </w:p>
        </w:tc>
        <w:tc>
          <w:tcPr>
            <w:tcW w:w="1396"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монтажные</w:t>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b/>
                <w:b/>
                <w:bCs/>
                <w:color w:val="FFFFFF"/>
                <w:sz w:val="16"/>
                <w:szCs w:val="16"/>
              </w:rPr>
            </w:pPr>
            <w:r>
              <w:rPr>
                <w:b/>
                <w:bCs/>
                <w:color w:val="FFFFFF"/>
                <w:sz w:val="16"/>
                <w:szCs w:val="16"/>
              </w:rPr>
            </w:r>
          </w:p>
        </w:tc>
        <w:tc>
          <w:tcPr>
            <w:tcW w:w="1279" w:type="dxa"/>
            <w:tcBorders>
              <w:bottom w:val="single" w:sz="4" w:space="0" w:color="000000"/>
              <w:right w:val="single" w:sz="4" w:space="0" w:color="000000"/>
              <w:insideH w:val="single" w:sz="4" w:space="0" w:color="000000"/>
              <w:insideV w:val="single" w:sz="4" w:space="0" w:color="000000"/>
            </w:tcBorders>
            <w:shd w:color="000000" w:fill="777777" w:val="clear"/>
            <w:vAlign w:val="center"/>
          </w:tcPr>
          <w:p>
            <w:pPr>
              <w:pStyle w:val="Normal"/>
              <w:jc w:val="center"/>
              <w:rPr>
                <w:b/>
                <w:b/>
                <w:bCs/>
                <w:color w:val="FFFFFF"/>
                <w:sz w:val="16"/>
                <w:szCs w:val="16"/>
              </w:rPr>
            </w:pPr>
            <w:r>
              <w:rPr>
                <w:b/>
                <w:bCs/>
                <w:color w:val="FFFFFF"/>
                <w:sz w:val="16"/>
                <w:szCs w:val="16"/>
              </w:rPr>
              <w:t>малярные</w:t>
            </w:r>
          </w:p>
        </w:tc>
      </w:tr>
      <w:tr>
        <w:trPr>
          <w:trHeight w:val="20" w:hRule="atLeast"/>
        </w:trPr>
        <w:tc>
          <w:tcPr>
            <w:tcW w:w="1710"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Apilot</w:t>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8 (926) 374-98-07</w:t>
            </w:r>
          </w:p>
        </w:tc>
        <w:tc>
          <w:tcPr>
            <w:tcW w:w="161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396"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27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pPr>
            <w:hyperlink r:id="rId44">
              <w:r>
                <w:rPr>
                  <w:rStyle w:val="ListLabel14"/>
                  <w:color w:val="0000FF"/>
                  <w:sz w:val="16"/>
                  <w:szCs w:val="16"/>
                  <w:u w:val="single"/>
                </w:rPr>
                <w:t>https://www.globalrent.ru</w:t>
              </w:r>
            </w:hyperlink>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г. Москва, ул. Енисейская д.7, к3</w:t>
            </w:r>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 xml:space="preserve">    </w:t>
            </w:r>
            <w:r>
              <w:rPr>
                <w:color w:val="282828"/>
                <w:sz w:val="16"/>
                <w:szCs w:val="16"/>
              </w:rPr>
              <w:t>Нивюс</w:t>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8 (495) 620-35-36</w:t>
            </w:r>
          </w:p>
        </w:tc>
        <w:tc>
          <w:tcPr>
            <w:tcW w:w="161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1 600</w:t>
            </w:r>
          </w:p>
        </w:tc>
        <w:tc>
          <w:tcPr>
            <w:tcW w:w="1396"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1 600</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1 600</w:t>
            </w:r>
          </w:p>
        </w:tc>
        <w:tc>
          <w:tcPr>
            <w:tcW w:w="127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1 600</w:t>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pPr>
            <w:hyperlink r:id="rId45">
              <w:r>
                <w:rPr>
                  <w:rStyle w:val="ListLabel14"/>
                  <w:color w:val="0000FF"/>
                  <w:sz w:val="16"/>
                  <w:szCs w:val="16"/>
                  <w:u w:val="single"/>
                </w:rPr>
                <w:t>https://nivus.ru/</w:t>
              </w:r>
            </w:hyperlink>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г. Москва, ул. Автозаводская 16, корп. 2, стр. 16</w:t>
            </w:r>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СТО Автодоктор</w:t>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rFonts w:ascii="Arial" w:hAnsi="Arial" w:cs="Arial"/>
                <w:color w:val="282828"/>
                <w:sz w:val="16"/>
                <w:szCs w:val="16"/>
              </w:rPr>
            </w:pPr>
            <w:r>
              <w:rPr>
                <w:color w:val="282828"/>
                <w:sz w:val="16"/>
                <w:szCs w:val="16"/>
              </w:rPr>
              <w:t>8 (495) 969-92-98, 8 (916) 132-67-75</w:t>
            </w:r>
          </w:p>
        </w:tc>
        <w:tc>
          <w:tcPr>
            <w:tcW w:w="161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1 400</w:t>
            </w:r>
          </w:p>
        </w:tc>
        <w:tc>
          <w:tcPr>
            <w:tcW w:w="1396"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1 400</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1 400</w:t>
            </w:r>
          </w:p>
        </w:tc>
        <w:tc>
          <w:tcPr>
            <w:tcW w:w="127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color w:val="282828"/>
                <w:sz w:val="16"/>
                <w:szCs w:val="16"/>
              </w:rPr>
            </w:pPr>
            <w:r>
              <w:rPr>
                <w:color w:val="282828"/>
                <w:sz w:val="16"/>
                <w:szCs w:val="16"/>
              </w:rPr>
              <w:t>1 400</w:t>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г. Люберцы, ул. Котельническая, д.8А</w:t>
            </w:r>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pPr>
            <w:hyperlink r:id="rId46">
              <w:r>
                <w:rPr>
                  <w:rStyle w:val="ListLabel15"/>
                  <w:color w:val="0000FF"/>
                  <w:sz w:val="16"/>
                  <w:szCs w:val="16"/>
                </w:rPr>
                <w:t>http://pro-pokraska.ru/</w:t>
              </w:r>
            </w:hyperlink>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Символ</w:t>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8 (495) 669-28-51</w:t>
            </w:r>
          </w:p>
        </w:tc>
        <w:tc>
          <w:tcPr>
            <w:tcW w:w="161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396"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27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pPr>
            <w:hyperlink r:id="rId47">
              <w:r>
                <w:rPr>
                  <w:rStyle w:val="ListLabel14"/>
                  <w:color w:val="0000FF"/>
                  <w:sz w:val="16"/>
                  <w:szCs w:val="16"/>
                  <w:u w:val="single"/>
                </w:rPr>
                <w:t>https://symbol-service.ru</w:t>
              </w:r>
            </w:hyperlink>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 xml:space="preserve"> </w:t>
            </w:r>
            <w:r>
              <w:rPr>
                <w:color w:val="282828"/>
                <w:sz w:val="16"/>
                <w:szCs w:val="16"/>
              </w:rPr>
              <w:t>г. Москва, Каширское шоссе 67, стр 14</w:t>
            </w:r>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Pitstop</w:t>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8 (495) 724-59-75</w:t>
            </w:r>
          </w:p>
        </w:tc>
        <w:tc>
          <w:tcPr>
            <w:tcW w:w="161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396"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508"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c>
          <w:tcPr>
            <w:tcW w:w="1279" w:type="dxa"/>
            <w:vMerge w:val="restart"/>
            <w:tcBorders>
              <w:left w:val="single" w:sz="4" w:space="0" w:color="000000"/>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1 500</w:t>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pPr>
            <w:hyperlink r:id="rId48">
              <w:r>
                <w:rPr>
                  <w:rStyle w:val="ListLabel14"/>
                  <w:color w:val="0000FF"/>
                  <w:sz w:val="16"/>
                  <w:szCs w:val="16"/>
                  <w:u w:val="single"/>
                </w:rPr>
                <w:t>https://pitstopcolor.ru</w:t>
              </w:r>
            </w:hyperlink>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1710"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2835" w:type="dxa"/>
            <w:tcBorders>
              <w:bottom w:val="single" w:sz="4" w:space="0" w:color="000000"/>
              <w:right w:val="single" w:sz="4" w:space="0" w:color="000000"/>
              <w:insideH w:val="single" w:sz="4" w:space="0" w:color="000000"/>
              <w:insideV w:val="single" w:sz="4" w:space="0" w:color="000000"/>
            </w:tcBorders>
            <w:shd w:color="000000" w:fill="FFFFFF" w:val="clear"/>
            <w:vAlign w:val="center"/>
          </w:tcPr>
          <w:p>
            <w:pPr>
              <w:pStyle w:val="Normal"/>
              <w:jc w:val="center"/>
              <w:rPr>
                <w:color w:val="282828"/>
                <w:sz w:val="16"/>
                <w:szCs w:val="16"/>
              </w:rPr>
            </w:pPr>
            <w:r>
              <w:rPr>
                <w:color w:val="282828"/>
                <w:sz w:val="16"/>
                <w:szCs w:val="16"/>
              </w:rPr>
              <w:t>Москва, ул. Южнопортовая д.9</w:t>
            </w:r>
          </w:p>
        </w:tc>
        <w:tc>
          <w:tcPr>
            <w:tcW w:w="161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39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508"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c>
          <w:tcPr>
            <w:tcW w:w="127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color w:val="282828"/>
                <w:sz w:val="16"/>
                <w:szCs w:val="16"/>
              </w:rPr>
            </w:pPr>
            <w:r>
              <w:rPr>
                <w:color w:val="282828"/>
                <w:sz w:val="16"/>
                <w:szCs w:val="16"/>
              </w:rPr>
            </w:r>
          </w:p>
        </w:tc>
      </w:tr>
      <w:tr>
        <w:trPr>
          <w:trHeight w:val="20" w:hRule="atLeast"/>
        </w:trPr>
        <w:tc>
          <w:tcPr>
            <w:tcW w:w="45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000000" w:fill="EEEEEE" w:val="clear"/>
            <w:vAlign w:val="center"/>
          </w:tcPr>
          <w:p>
            <w:pPr>
              <w:pStyle w:val="Normal"/>
              <w:jc w:val="center"/>
              <w:rPr>
                <w:color w:val="282828"/>
                <w:sz w:val="16"/>
                <w:szCs w:val="16"/>
              </w:rPr>
            </w:pPr>
            <w:r>
              <w:rPr>
                <w:color w:val="282828"/>
                <w:sz w:val="16"/>
                <w:szCs w:val="16"/>
              </w:rPr>
              <w:t>  </w:t>
            </w:r>
            <w:r>
              <w:rPr>
                <w:b/>
                <w:bCs/>
                <w:color w:val="FF0000"/>
                <w:sz w:val="16"/>
                <w:szCs w:val="16"/>
              </w:rPr>
              <w:t xml:space="preserve">Средний нормочас </w:t>
            </w:r>
          </w:p>
        </w:tc>
        <w:tc>
          <w:tcPr>
            <w:tcW w:w="1619" w:type="dxa"/>
            <w:tcBorders>
              <w:bottom w:val="single" w:sz="4" w:space="0" w:color="000000"/>
              <w:right w:val="single" w:sz="4" w:space="0" w:color="000000"/>
              <w:insideH w:val="single" w:sz="4" w:space="0" w:color="000000"/>
              <w:insideV w:val="single" w:sz="4" w:space="0" w:color="000000"/>
            </w:tcBorders>
            <w:shd w:color="000000" w:fill="EEEEEE" w:val="clear"/>
            <w:vAlign w:val="center"/>
          </w:tcPr>
          <w:p>
            <w:pPr>
              <w:pStyle w:val="Normal"/>
              <w:jc w:val="center"/>
              <w:rPr>
                <w:b/>
                <w:b/>
                <w:bCs/>
                <w:color w:val="FF0000"/>
                <w:sz w:val="16"/>
                <w:szCs w:val="16"/>
              </w:rPr>
            </w:pPr>
            <w:r>
              <w:rPr>
                <w:b/>
                <w:bCs/>
                <w:color w:val="FF0000"/>
                <w:sz w:val="16"/>
                <w:szCs w:val="16"/>
              </w:rPr>
              <w:t>1 500</w:t>
            </w:r>
          </w:p>
        </w:tc>
        <w:tc>
          <w:tcPr>
            <w:tcW w:w="1396" w:type="dxa"/>
            <w:tcBorders>
              <w:bottom w:val="single" w:sz="4" w:space="0" w:color="000000"/>
              <w:right w:val="single" w:sz="4" w:space="0" w:color="000000"/>
              <w:insideH w:val="single" w:sz="4" w:space="0" w:color="000000"/>
              <w:insideV w:val="single" w:sz="4" w:space="0" w:color="000000"/>
            </w:tcBorders>
            <w:shd w:color="000000" w:fill="EEEEEE" w:val="clear"/>
            <w:vAlign w:val="center"/>
          </w:tcPr>
          <w:p>
            <w:pPr>
              <w:pStyle w:val="Normal"/>
              <w:jc w:val="center"/>
              <w:rPr>
                <w:b/>
                <w:b/>
                <w:bCs/>
                <w:color w:val="FF0000"/>
                <w:sz w:val="16"/>
                <w:szCs w:val="16"/>
              </w:rPr>
            </w:pPr>
            <w:r>
              <w:rPr>
                <w:b/>
                <w:bCs/>
                <w:color w:val="FF0000"/>
                <w:sz w:val="16"/>
                <w:szCs w:val="16"/>
              </w:rPr>
              <w:t>1 500</w:t>
            </w:r>
          </w:p>
        </w:tc>
        <w:tc>
          <w:tcPr>
            <w:tcW w:w="1508" w:type="dxa"/>
            <w:tcBorders>
              <w:bottom w:val="single" w:sz="4" w:space="0" w:color="000000"/>
              <w:right w:val="single" w:sz="4" w:space="0" w:color="000000"/>
              <w:insideH w:val="single" w:sz="4" w:space="0" w:color="000000"/>
              <w:insideV w:val="single" w:sz="4" w:space="0" w:color="000000"/>
            </w:tcBorders>
            <w:shd w:color="000000" w:fill="EEEEEE" w:val="clear"/>
            <w:vAlign w:val="center"/>
          </w:tcPr>
          <w:p>
            <w:pPr>
              <w:pStyle w:val="Normal"/>
              <w:jc w:val="center"/>
              <w:rPr>
                <w:b/>
                <w:b/>
                <w:bCs/>
                <w:color w:val="FF0000"/>
                <w:sz w:val="16"/>
                <w:szCs w:val="16"/>
              </w:rPr>
            </w:pPr>
            <w:r>
              <w:rPr>
                <w:b/>
                <w:bCs/>
                <w:color w:val="FF0000"/>
                <w:sz w:val="16"/>
                <w:szCs w:val="16"/>
              </w:rPr>
              <w:t>1 500</w:t>
            </w:r>
          </w:p>
        </w:tc>
        <w:tc>
          <w:tcPr>
            <w:tcW w:w="1279" w:type="dxa"/>
            <w:tcBorders>
              <w:bottom w:val="single" w:sz="4" w:space="0" w:color="000000"/>
              <w:right w:val="single" w:sz="4" w:space="0" w:color="000000"/>
              <w:insideH w:val="single" w:sz="4" w:space="0" w:color="000000"/>
              <w:insideV w:val="single" w:sz="4" w:space="0" w:color="000000"/>
            </w:tcBorders>
            <w:shd w:color="000000" w:fill="EEEEEE" w:val="clear"/>
            <w:vAlign w:val="center"/>
          </w:tcPr>
          <w:p>
            <w:pPr>
              <w:pStyle w:val="Normal"/>
              <w:jc w:val="center"/>
              <w:rPr>
                <w:b/>
                <w:b/>
                <w:bCs/>
                <w:color w:val="FF0000"/>
                <w:sz w:val="16"/>
                <w:szCs w:val="16"/>
              </w:rPr>
            </w:pPr>
            <w:r>
              <w:rPr>
                <w:b/>
                <w:bCs/>
                <w:color w:val="FF0000"/>
                <w:sz w:val="16"/>
                <w:szCs w:val="16"/>
              </w:rPr>
              <w:t>1 500</w:t>
            </w:r>
          </w:p>
        </w:tc>
      </w:tr>
    </w:tbl>
    <w:p>
      <w:pPr>
        <w:pStyle w:val="Normal"/>
        <w:jc w:val="center"/>
        <w:rPr/>
      </w:pPr>
      <w:r>
        <w:rPr>
          <w:rFonts w:eastAsia="Arial Unicode MS"/>
        </w:rPr>
        <w:t xml:space="preserve">Калькуляция по определению стоимости устранения недостатков на автомобиле </w:t>
      </w:r>
      <w:r>
        <w:rPr/>
        <w:t>MERCEDES-BENZ A 200 VIN</w:t>
      </w:r>
      <w:r>
        <w:rPr>
          <w:rFonts w:eastAsia="Arial Unicode MS"/>
        </w:rPr>
        <w:t xml:space="preserve">: </w:t>
      </w:r>
      <w:r>
        <w:rPr>
          <w:rFonts w:eastAsia="Arial Unicode MS"/>
          <w:color w:val="000000"/>
        </w:rPr>
        <w:t>*******</w:t>
      </w:r>
    </w:p>
    <w:p>
      <w:pPr>
        <w:pStyle w:val="Normal"/>
        <w:jc w:val="center"/>
        <w:rPr>
          <w:color w:val="000000"/>
        </w:rPr>
      </w:pPr>
      <w:r>
        <w:rPr>
          <w:color w:val="000000"/>
        </w:rPr>
      </w:r>
    </w:p>
    <w:p>
      <w:pPr>
        <w:pStyle w:val="3"/>
        <w:spacing w:before="0" w:after="0"/>
        <w:rPr>
          <w:rFonts w:ascii="Times New Roman" w:hAnsi="Times New Roman" w:cs="Times New Roman"/>
          <w:i/>
          <w:i/>
          <w:iCs/>
          <w:sz w:val="20"/>
          <w:szCs w:val="20"/>
        </w:rPr>
      </w:pPr>
      <w:r>
        <w:rPr>
          <w:rFonts w:cs="Times New Roman" w:ascii="Times New Roman" w:hAnsi="Times New Roman"/>
          <w:sz w:val="20"/>
          <w:szCs w:val="20"/>
        </w:rPr>
        <w:t xml:space="preserve">Стоимость </w:t>
      </w:r>
      <w:r>
        <w:rPr>
          <w:rStyle w:val="Strong"/>
          <w:rFonts w:cs="Times New Roman" w:ascii="Times New Roman" w:hAnsi="Times New Roman"/>
          <w:b/>
          <w:sz w:val="20"/>
          <w:szCs w:val="20"/>
        </w:rPr>
        <w:t>ремонтных воздействий</w:t>
      </w:r>
    </w:p>
    <w:tbl>
      <w:tblPr>
        <w:tblW w:w="4700" w:type="pct"/>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554"/>
        <w:gridCol w:w="4611"/>
        <w:gridCol w:w="1"/>
        <w:gridCol w:w="1290"/>
        <w:gridCol w:w="924"/>
        <w:gridCol w:w="924"/>
        <w:gridCol w:w="1422"/>
      </w:tblGrid>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jc w:val="center"/>
              <w:rPr>
                <w:sz w:val="20"/>
                <w:szCs w:val="20"/>
              </w:rPr>
            </w:pPr>
            <w:r>
              <w:rPr>
                <w:sz w:val="20"/>
                <w:szCs w:val="20"/>
              </w:rPr>
              <w:t>Наименование</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Цена</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Нормо-час</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Кол-во</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Сумма</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Бампер передн. - отсоединить/присоединить</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0,50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750,00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Фара лев. - замена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3</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Крыло передн. лев. - замена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0,80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1 200,00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4</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Дополнительно при замене фар</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5</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Фара LED - регулировка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0,40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6</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Дополнительно к с/у передн. бампера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7</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Бампер передн. в сборе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0,70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1 050,00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8</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Облицовка моторного отсека нижн. передн. ча</w:t>
            </w:r>
            <w:r>
              <w:rPr>
                <w:sz w:val="20"/>
                <w:szCs w:val="20"/>
                <w:lang w:val="ru-RU"/>
              </w:rPr>
              <w:t>с</w:t>
            </w:r>
            <w:r>
              <w:rPr>
                <w:sz w:val="20"/>
                <w:szCs w:val="20"/>
              </w:rPr>
              <w:t>ть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0,50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750,00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9</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Крышка радиатора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10</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Знак номерной передн.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11</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Решетка передн. бампера лев. нижн.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12</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Решетка передн. бампера прав. нижн.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13</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Датчик/датчики парковки передн. - с/у (бампер-снят)</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14</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Подкрылок передн. лев. колеса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0,40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15</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Дверь передн. лев.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0,70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1 050,00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16</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Провод аккумуляторной батареи отрицательный - с/у при разделении электросоединителей</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17</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Зеркало лев.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18</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Ручка передн. двери лев. наружн.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19</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Стекло передн. лев. двери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20</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Облицовка передн. лев. двери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0,40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21</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Дверь задн. лев.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0,60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22</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Ручка задн. двери лев. наружн.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23</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Молдинг задн. лев. двери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24</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Стекло окна задн. лев. двери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25</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Облицовка задн. лев. двери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26</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Крышка горловины - с/у</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0,10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27</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Системы электрические/электронные - проверка после тестирования</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28</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Дополнительно при разборке/сборке передн. бампера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0,20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29</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Дополнительная работа при разборке/сборке передн. бампера</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0,10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150,00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30</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Бампер передн. - разборка/сборка (бампер-снят), где необходимо замена деталей</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0,60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900,00</w:t>
            </w:r>
          </w:p>
        </w:tc>
      </w:tr>
      <w:tr>
        <w:trPr/>
        <w:tc>
          <w:tcPr>
            <w:tcW w:w="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jc w:val="center"/>
              <w:rPr>
                <w:sz w:val="20"/>
                <w:szCs w:val="20"/>
              </w:rPr>
            </w:pPr>
            <w:r>
              <w:rPr>
                <w:sz w:val="20"/>
                <w:szCs w:val="20"/>
              </w:rPr>
              <w:t>31</w:t>
            </w:r>
          </w:p>
        </w:tc>
        <w:tc>
          <w:tcPr>
            <w:tcW w:w="461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32"/>
              <w:tabs>
                <w:tab w:val="clear" w:pos="4677"/>
                <w:tab w:val="clear" w:pos="9355"/>
              </w:tabs>
              <w:rPr>
                <w:sz w:val="20"/>
                <w:szCs w:val="20"/>
              </w:rPr>
            </w:pPr>
            <w:r>
              <w:rPr>
                <w:sz w:val="20"/>
                <w:szCs w:val="20"/>
              </w:rPr>
              <w:t>Идентификация производителя</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2"/>
              <w:spacing w:before="0" w:after="0"/>
              <w:rPr>
                <w:sz w:val="20"/>
                <w:szCs w:val="20"/>
              </w:rPr>
            </w:pPr>
            <w:r>
              <w:rPr>
                <w:sz w:val="20"/>
                <w:szCs w:val="20"/>
              </w:rPr>
              <w:t>0,30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165" w:type="dxa"/>
            <w:gridSpan w:val="2"/>
            <w:tcBorders>
              <w:top w:val="single" w:sz="4" w:space="0" w:color="000000"/>
              <w:bottom w:val="single" w:sz="4" w:space="0" w:color="000000"/>
              <w:insideH w:val="single" w:sz="4" w:space="0" w:color="000000"/>
            </w:tcBorders>
            <w:shd w:fill="auto" w:val="clear"/>
            <w:vAlign w:val="center"/>
          </w:tcPr>
          <w:p>
            <w:pPr>
              <w:pStyle w:val="Style32"/>
              <w:tabs>
                <w:tab w:val="clear" w:pos="4677"/>
                <w:tab w:val="clear" w:pos="9355"/>
              </w:tabs>
              <w:rPr>
                <w:sz w:val="20"/>
                <w:szCs w:val="20"/>
              </w:rPr>
            </w:pPr>
            <w:r>
              <w:rPr>
                <w:b/>
                <w:sz w:val="20"/>
                <w:szCs w:val="20"/>
              </w:rPr>
              <w:t>Итого:</w:t>
            </w:r>
          </w:p>
        </w:tc>
        <w:tc>
          <w:tcPr>
            <w:tcW w:w="4561" w:type="dxa"/>
            <w:gridSpan w:val="5"/>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15 900,00 РУБ.</w:t>
            </w:r>
          </w:p>
        </w:tc>
      </w:tr>
    </w:tbl>
    <w:p>
      <w:pPr>
        <w:pStyle w:val="Normal"/>
        <w:rPr>
          <w:sz w:val="20"/>
          <w:szCs w:val="20"/>
        </w:rPr>
      </w:pPr>
      <w:r>
        <w:rPr>
          <w:sz w:val="20"/>
          <w:szCs w:val="20"/>
        </w:rPr>
      </w:r>
    </w:p>
    <w:p>
      <w:pPr>
        <w:pStyle w:val="3"/>
        <w:spacing w:before="0" w:after="0"/>
        <w:rPr>
          <w:rFonts w:ascii="Times New Roman" w:hAnsi="Times New Roman" w:cs="Times New Roman"/>
          <w:i/>
          <w:i/>
          <w:iCs/>
          <w:sz w:val="20"/>
          <w:szCs w:val="20"/>
        </w:rPr>
      </w:pPr>
      <w:r>
        <w:rPr>
          <w:rFonts w:cs="Times New Roman" w:ascii="Times New Roman" w:hAnsi="Times New Roman"/>
          <w:sz w:val="20"/>
          <w:szCs w:val="20"/>
        </w:rPr>
        <w:t>Стоимость работ по окраске/контролю</w:t>
      </w:r>
    </w:p>
    <w:tbl>
      <w:tblPr>
        <w:tblW w:w="4700" w:type="pct"/>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552"/>
        <w:gridCol w:w="4614"/>
        <w:gridCol w:w="1293"/>
        <w:gridCol w:w="924"/>
        <w:gridCol w:w="921"/>
        <w:gridCol w:w="1422"/>
      </w:tblGrid>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Наименование</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Цена</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Нормо-час</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Annotationtext"/>
              <w:jc w:val="center"/>
              <w:rPr/>
            </w:pPr>
            <w:r>
              <w:rPr/>
              <w:t>Кол-во</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Сумма</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Подготовительная работа к окраске в два слоя (при окраске снятых пластиковых деталей)</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1,20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1 800,00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2</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Бампер передн. - окраска новой части</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1,20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1 800,00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3</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Подготовительная работа к окраске в два слоя (при окраске установленных кузовных деталей)</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2,40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3 600,00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4</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Крыло передн. лев. - окраска новой части</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0,80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1 200,00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5</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Дверь передн. лев. - окраска наружных поверхностей</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0,90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1 350,00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6</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Дверь задн. лев. - окраска наружных поверхностей</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0,80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1 200,00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7</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Подбор колера</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0,30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8</w:t>
            </w:r>
          </w:p>
        </w:tc>
        <w:tc>
          <w:tcPr>
            <w:tcW w:w="46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Выкрас образца</w:t>
            </w:r>
          </w:p>
        </w:tc>
        <w:tc>
          <w:tcPr>
            <w:tcW w:w="12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1 500,00</w:t>
            </w:r>
          </w:p>
        </w:tc>
        <w:tc>
          <w:tcPr>
            <w:tcW w:w="9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0,30</w:t>
            </w:r>
          </w:p>
        </w:tc>
        <w:tc>
          <w:tcPr>
            <w:tcW w:w="9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14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450,00</w:t>
            </w:r>
          </w:p>
        </w:tc>
      </w:tr>
      <w:tr>
        <w:trPr/>
        <w:tc>
          <w:tcPr>
            <w:tcW w:w="5166" w:type="dxa"/>
            <w:gridSpan w:val="2"/>
            <w:tcBorders>
              <w:top w:val="single" w:sz="4" w:space="0" w:color="000000"/>
              <w:bottom w:val="single" w:sz="4" w:space="0" w:color="000000"/>
              <w:insideH w:val="single" w:sz="4" w:space="0" w:color="000000"/>
            </w:tcBorders>
            <w:shd w:fill="auto" w:val="clear"/>
            <w:vAlign w:val="center"/>
          </w:tcPr>
          <w:p>
            <w:pPr>
              <w:pStyle w:val="Normal"/>
              <w:rPr>
                <w:sz w:val="20"/>
                <w:szCs w:val="20"/>
              </w:rPr>
            </w:pPr>
            <w:r>
              <w:rPr>
                <w:b/>
                <w:sz w:val="20"/>
                <w:szCs w:val="20"/>
              </w:rPr>
              <w:t>Итого:</w:t>
            </w:r>
          </w:p>
        </w:tc>
        <w:tc>
          <w:tcPr>
            <w:tcW w:w="4560" w:type="dxa"/>
            <w:gridSpan w:val="4"/>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11 850,00 РУБ.</w:t>
            </w:r>
          </w:p>
        </w:tc>
      </w:tr>
      <w:tr>
        <w:trPr/>
        <w:tc>
          <w:tcPr>
            <w:tcW w:w="5166" w:type="dxa"/>
            <w:gridSpan w:val="2"/>
            <w:tcBorders>
              <w:top w:val="single" w:sz="4" w:space="0" w:color="000000"/>
              <w:bottom w:val="single" w:sz="4" w:space="0" w:color="000000"/>
              <w:insideH w:val="single" w:sz="4" w:space="0" w:color="000000"/>
            </w:tcBorders>
            <w:shd w:fill="auto" w:val="clear"/>
            <w:vAlign w:val="center"/>
          </w:tcPr>
          <w:p>
            <w:pPr>
              <w:pStyle w:val="Normal"/>
              <w:rPr>
                <w:sz w:val="20"/>
                <w:szCs w:val="20"/>
              </w:rPr>
            </w:pPr>
            <w:r>
              <w:rPr>
                <w:b/>
                <w:sz w:val="20"/>
                <w:szCs w:val="20"/>
              </w:rPr>
              <w:t>Стоимость ремонтных работ:</w:t>
            </w:r>
          </w:p>
        </w:tc>
        <w:tc>
          <w:tcPr>
            <w:tcW w:w="4560" w:type="dxa"/>
            <w:gridSpan w:val="4"/>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27 750,00 РУБ.</w:t>
            </w:r>
          </w:p>
        </w:tc>
      </w:tr>
    </w:tbl>
    <w:p>
      <w:pPr>
        <w:pStyle w:val="16"/>
        <w:rPr>
          <w:sz w:val="20"/>
          <w:szCs w:val="20"/>
        </w:rPr>
      </w:pPr>
      <w:r>
        <w:rPr>
          <w:sz w:val="20"/>
          <w:szCs w:val="20"/>
        </w:rPr>
      </w:r>
    </w:p>
    <w:p>
      <w:pPr>
        <w:pStyle w:val="3"/>
        <w:spacing w:before="0" w:after="0"/>
        <w:rPr>
          <w:rFonts w:ascii="Times New Roman" w:hAnsi="Times New Roman" w:cs="Times New Roman"/>
          <w:i/>
          <w:i/>
          <w:iCs/>
          <w:sz w:val="20"/>
          <w:szCs w:val="20"/>
        </w:rPr>
      </w:pPr>
      <w:r>
        <w:rPr>
          <w:rFonts w:cs="Times New Roman" w:ascii="Times New Roman" w:hAnsi="Times New Roman"/>
          <w:sz w:val="20"/>
          <w:szCs w:val="20"/>
        </w:rPr>
        <w:t>Стоимость запасных частей</w:t>
      </w:r>
    </w:p>
    <w:tbl>
      <w:tblPr>
        <w:tblW w:w="1003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534"/>
        <w:gridCol w:w="2700"/>
        <w:gridCol w:w="1260"/>
        <w:gridCol w:w="541"/>
        <w:gridCol w:w="359"/>
        <w:gridCol w:w="900"/>
        <w:gridCol w:w="1260"/>
        <w:gridCol w:w="2476"/>
      </w:tblGrid>
      <w:tr>
        <w:trPr>
          <w:trHeight w:val="427" w:hRule="atLeast"/>
        </w:trPr>
        <w:tc>
          <w:tcPr>
            <w:tcW w:w="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w:t>
            </w:r>
          </w:p>
        </w:tc>
        <w:tc>
          <w:tcPr>
            <w:tcW w:w="2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Наименование</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Цена</w:t>
            </w:r>
          </w:p>
        </w:tc>
        <w:tc>
          <w:tcPr>
            <w:tcW w:w="9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Кол-во</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Износ (%)</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Сумма</w:t>
            </w:r>
          </w:p>
        </w:tc>
        <w:tc>
          <w:tcPr>
            <w:tcW w:w="2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02"/>
              <w:rPr>
                <w:lang w:eastAsia="ru-RU"/>
              </w:rPr>
            </w:pPr>
            <w:r>
              <w:rPr>
                <w:lang w:eastAsia="ru-RU"/>
              </w:rPr>
              <w:t>Каталожный номер</w:t>
            </w:r>
          </w:p>
        </w:tc>
      </w:tr>
      <w:tr>
        <w:trPr>
          <w:trHeight w:val="149" w:hRule="atLeast"/>
        </w:trPr>
        <w:tc>
          <w:tcPr>
            <w:tcW w:w="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w:t>
            </w:r>
          </w:p>
        </w:tc>
        <w:tc>
          <w:tcPr>
            <w:tcW w:w="2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Фара лев. в сборе</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164 363,00</w:t>
            </w:r>
          </w:p>
        </w:tc>
        <w:tc>
          <w:tcPr>
            <w:tcW w:w="9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0,00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164 363,00</w:t>
            </w:r>
          </w:p>
        </w:tc>
        <w:tc>
          <w:tcPr>
            <w:tcW w:w="2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A1779060101</w:t>
            </w:r>
          </w:p>
        </w:tc>
      </w:tr>
      <w:tr>
        <w:trPr>
          <w:trHeight w:val="149" w:hRule="atLeast"/>
        </w:trPr>
        <w:tc>
          <w:tcPr>
            <w:tcW w:w="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2</w:t>
            </w:r>
          </w:p>
        </w:tc>
        <w:tc>
          <w:tcPr>
            <w:tcW w:w="2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Крыло передн. лев.</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28 620,00</w:t>
            </w:r>
          </w:p>
        </w:tc>
        <w:tc>
          <w:tcPr>
            <w:tcW w:w="9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0,00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28 620,00</w:t>
            </w:r>
          </w:p>
        </w:tc>
        <w:tc>
          <w:tcPr>
            <w:tcW w:w="2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A1778810500</w:t>
            </w:r>
          </w:p>
        </w:tc>
      </w:tr>
      <w:tr>
        <w:trPr>
          <w:trHeight w:val="149" w:hRule="atLeast"/>
        </w:trPr>
        <w:tc>
          <w:tcPr>
            <w:tcW w:w="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3</w:t>
            </w:r>
          </w:p>
        </w:tc>
        <w:tc>
          <w:tcPr>
            <w:tcW w:w="2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Подкрылок передн. лев. колеса</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18 766,00</w:t>
            </w:r>
          </w:p>
        </w:tc>
        <w:tc>
          <w:tcPr>
            <w:tcW w:w="9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0,00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18 766,00</w:t>
            </w:r>
          </w:p>
        </w:tc>
        <w:tc>
          <w:tcPr>
            <w:tcW w:w="2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A 177 690 11 03</w:t>
            </w:r>
          </w:p>
        </w:tc>
      </w:tr>
      <w:tr>
        <w:trPr>
          <w:trHeight w:val="149" w:hRule="atLeast"/>
        </w:trPr>
        <w:tc>
          <w:tcPr>
            <w:tcW w:w="5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4</w:t>
            </w:r>
          </w:p>
        </w:tc>
        <w:tc>
          <w:tcPr>
            <w:tcW w:w="2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Буфер противоударный передн.</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9 126,00</w:t>
            </w:r>
          </w:p>
        </w:tc>
        <w:tc>
          <w:tcPr>
            <w:tcW w:w="90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0,00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9 126,00</w:t>
            </w:r>
          </w:p>
        </w:tc>
        <w:tc>
          <w:tcPr>
            <w:tcW w:w="2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A1778859402</w:t>
            </w:r>
          </w:p>
        </w:tc>
      </w:tr>
      <w:tr>
        <w:trPr>
          <w:trHeight w:val="149" w:hRule="atLeast"/>
        </w:trPr>
        <w:tc>
          <w:tcPr>
            <w:tcW w:w="5035" w:type="dxa"/>
            <w:gridSpan w:val="4"/>
            <w:tcBorders>
              <w:top w:val="single" w:sz="4" w:space="0" w:color="000000"/>
              <w:bottom w:val="single" w:sz="4" w:space="0" w:color="000000"/>
              <w:insideH w:val="single" w:sz="4" w:space="0" w:color="000000"/>
            </w:tcBorders>
            <w:shd w:fill="auto" w:val="clear"/>
            <w:vAlign w:val="center"/>
          </w:tcPr>
          <w:p>
            <w:pPr>
              <w:pStyle w:val="Normal"/>
              <w:rPr>
                <w:b/>
                <w:b/>
                <w:sz w:val="20"/>
                <w:szCs w:val="20"/>
              </w:rPr>
            </w:pPr>
            <w:r>
              <w:rPr>
                <w:b/>
                <w:sz w:val="20"/>
                <w:szCs w:val="20"/>
              </w:rPr>
              <w:t>Стоимость мелких деталей (2,00%):</w:t>
            </w:r>
          </w:p>
        </w:tc>
        <w:tc>
          <w:tcPr>
            <w:tcW w:w="4995" w:type="dxa"/>
            <w:gridSpan w:val="4"/>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4 417,50 РУБ.</w:t>
            </w:r>
          </w:p>
        </w:tc>
      </w:tr>
      <w:tr>
        <w:trPr>
          <w:trHeight w:val="149" w:hRule="atLeast"/>
        </w:trPr>
        <w:tc>
          <w:tcPr>
            <w:tcW w:w="5035" w:type="dxa"/>
            <w:gridSpan w:val="4"/>
            <w:tcBorders>
              <w:top w:val="single" w:sz="4" w:space="0" w:color="000000"/>
              <w:bottom w:val="single" w:sz="4" w:space="0" w:color="000000"/>
              <w:insideH w:val="single" w:sz="4" w:space="0" w:color="000000"/>
            </w:tcBorders>
            <w:shd w:fill="auto" w:val="clear"/>
            <w:vAlign w:val="center"/>
          </w:tcPr>
          <w:p>
            <w:pPr>
              <w:pStyle w:val="Normal"/>
              <w:rPr>
                <w:sz w:val="20"/>
                <w:szCs w:val="20"/>
              </w:rPr>
            </w:pPr>
            <w:r>
              <w:rPr>
                <w:b/>
                <w:sz w:val="20"/>
                <w:szCs w:val="20"/>
              </w:rPr>
              <w:t>Итого:</w:t>
            </w:r>
          </w:p>
        </w:tc>
        <w:tc>
          <w:tcPr>
            <w:tcW w:w="4995" w:type="dxa"/>
            <w:gridSpan w:val="4"/>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225 292,50 РУБ.</w:t>
            </w:r>
          </w:p>
        </w:tc>
      </w:tr>
      <w:tr>
        <w:trPr>
          <w:trHeight w:val="149" w:hRule="atLeast"/>
        </w:trPr>
        <w:tc>
          <w:tcPr>
            <w:tcW w:w="5035" w:type="dxa"/>
            <w:gridSpan w:val="4"/>
            <w:tcBorders>
              <w:top w:val="single" w:sz="4" w:space="0" w:color="000000"/>
              <w:bottom w:val="single" w:sz="4" w:space="0" w:color="000000"/>
              <w:insideH w:val="single" w:sz="4" w:space="0" w:color="000000"/>
            </w:tcBorders>
            <w:shd w:fill="auto" w:val="clear"/>
            <w:vAlign w:val="center"/>
          </w:tcPr>
          <w:p>
            <w:pPr>
              <w:pStyle w:val="Normal"/>
              <w:rPr>
                <w:sz w:val="20"/>
                <w:szCs w:val="20"/>
              </w:rPr>
            </w:pPr>
            <w:r>
              <w:rPr>
                <w:b/>
                <w:sz w:val="20"/>
                <w:szCs w:val="20"/>
              </w:rPr>
              <w:t>Итого с износом:</w:t>
            </w:r>
          </w:p>
        </w:tc>
        <w:tc>
          <w:tcPr>
            <w:tcW w:w="4995" w:type="dxa"/>
            <w:gridSpan w:val="4"/>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225 292,50 РУБ.</w:t>
            </w:r>
          </w:p>
        </w:tc>
      </w:tr>
    </w:tbl>
    <w:p>
      <w:pPr>
        <w:pStyle w:val="Normal"/>
        <w:rPr>
          <w:sz w:val="20"/>
          <w:szCs w:val="20"/>
        </w:rPr>
      </w:pPr>
      <w:r>
        <w:rPr>
          <w:sz w:val="20"/>
          <w:szCs w:val="20"/>
        </w:rPr>
      </w:r>
    </w:p>
    <w:p>
      <w:pPr>
        <w:pStyle w:val="3"/>
        <w:spacing w:before="0" w:after="0"/>
        <w:rPr>
          <w:rFonts w:ascii="Times New Roman" w:hAnsi="Times New Roman" w:cs="Times New Roman"/>
          <w:i/>
          <w:i/>
          <w:iCs/>
          <w:sz w:val="20"/>
          <w:szCs w:val="20"/>
        </w:rPr>
      </w:pPr>
      <w:r>
        <w:rPr>
          <w:rFonts w:cs="Times New Roman" w:ascii="Times New Roman" w:hAnsi="Times New Roman"/>
          <w:sz w:val="20"/>
          <w:szCs w:val="20"/>
        </w:rPr>
        <w:t>Стоимость материалов</w:t>
      </w:r>
    </w:p>
    <w:tbl>
      <w:tblPr>
        <w:tblW w:w="10036"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noVBand="0" w:noHBand="0" w:lastColumn="0" w:firstColumn="0" w:lastRow="0" w:firstRow="0"/>
      </w:tblPr>
      <w:tblGrid>
        <w:gridCol w:w="538"/>
        <w:gridCol w:w="4501"/>
        <w:gridCol w:w="1260"/>
        <w:gridCol w:w="1260"/>
        <w:gridCol w:w="2477"/>
      </w:tblGrid>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Наименование</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Цена</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Кол-во</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Сумма</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lang w:val="en-US"/>
              </w:rPr>
            </w:pPr>
            <w:r>
              <w:rPr>
                <w:sz w:val="20"/>
                <w:szCs w:val="20"/>
              </w:rPr>
              <w:t>Грунт</w:t>
            </w:r>
            <w:r>
              <w:rPr>
                <w:sz w:val="20"/>
                <w:szCs w:val="20"/>
                <w:lang w:val="en-US"/>
              </w:rPr>
              <w:t xml:space="preserve"> Standoflex Plastic-Primer (</w:t>
            </w:r>
            <w:r>
              <w:rPr>
                <w:sz w:val="20"/>
                <w:szCs w:val="20"/>
              </w:rPr>
              <w:t>л</w:t>
            </w:r>
            <w:r>
              <w:rPr>
                <w:sz w:val="20"/>
                <w:szCs w:val="20"/>
                <w:lang w:val="en-US"/>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2 012,10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0,08</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160,97</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2</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Растворитель Standoflex Verdunnung 11100 (л)</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1 563,75</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0,40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625,50</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3</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lang w:val="en-US"/>
              </w:rPr>
            </w:pPr>
            <w:r>
              <w:rPr>
                <w:sz w:val="20"/>
                <w:szCs w:val="20"/>
              </w:rPr>
              <w:t>Отвердитель</w:t>
            </w:r>
            <w:r>
              <w:rPr>
                <w:sz w:val="20"/>
                <w:szCs w:val="20"/>
                <w:lang w:val="en-US"/>
              </w:rPr>
              <w:t xml:space="preserve"> Standox 2K Platinum Hardener (</w:t>
            </w:r>
            <w:r>
              <w:rPr>
                <w:sz w:val="20"/>
                <w:szCs w:val="20"/>
              </w:rPr>
              <w:t>л</w:t>
            </w:r>
            <w:r>
              <w:rPr>
                <w:sz w:val="20"/>
                <w:szCs w:val="20"/>
                <w:lang w:val="en-US"/>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2 569,60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0,38</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976,45</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4</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lang w:val="en-US"/>
              </w:rPr>
            </w:pPr>
            <w:r>
              <w:rPr>
                <w:sz w:val="20"/>
                <w:szCs w:val="20"/>
              </w:rPr>
              <w:t>Лак</w:t>
            </w:r>
            <w:r>
              <w:rPr>
                <w:sz w:val="20"/>
                <w:szCs w:val="20"/>
                <w:lang w:val="en-US"/>
              </w:rPr>
              <w:t xml:space="preserve"> Standocryl 2K-Platinum-Klarlack (</w:t>
            </w:r>
            <w:r>
              <w:rPr>
                <w:sz w:val="20"/>
                <w:szCs w:val="20"/>
              </w:rPr>
              <w:t>л</w:t>
            </w:r>
            <w:r>
              <w:rPr>
                <w:sz w:val="20"/>
                <w:szCs w:val="20"/>
                <w:lang w:val="en-US"/>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2 935,01</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0,60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1 761,01</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5</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Растворитель для очистки Standox T2 (л)</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1 420,95</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0,80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1 136,76</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6</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lang w:val="en-US"/>
              </w:rPr>
            </w:pPr>
            <w:r>
              <w:rPr>
                <w:sz w:val="20"/>
                <w:szCs w:val="20"/>
              </w:rPr>
              <w:t>Грунт</w:t>
            </w:r>
            <w:r>
              <w:rPr>
                <w:sz w:val="20"/>
                <w:szCs w:val="20"/>
                <w:lang w:val="en-US"/>
              </w:rPr>
              <w:t xml:space="preserve"> 2K-Primer Rotbraun (</w:t>
            </w:r>
            <w:r>
              <w:rPr>
                <w:sz w:val="20"/>
                <w:szCs w:val="20"/>
              </w:rPr>
              <w:t>л</w:t>
            </w:r>
            <w:r>
              <w:rPr>
                <w:sz w:val="20"/>
                <w:szCs w:val="20"/>
                <w:lang w:val="en-US"/>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1 340,75</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0,44</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589,93</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7</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lang w:val="en-US"/>
              </w:rPr>
            </w:pPr>
            <w:r>
              <w:rPr>
                <w:sz w:val="20"/>
                <w:szCs w:val="20"/>
              </w:rPr>
              <w:t>Отвердитель</w:t>
            </w:r>
            <w:r>
              <w:rPr>
                <w:sz w:val="20"/>
                <w:szCs w:val="20"/>
                <w:lang w:val="en-US"/>
              </w:rPr>
              <w:t xml:space="preserve"> Standox 2K-Hardener MS (</w:t>
            </w:r>
            <w:r>
              <w:rPr>
                <w:sz w:val="20"/>
                <w:szCs w:val="20"/>
              </w:rPr>
              <w:t>л</w:t>
            </w:r>
            <w:r>
              <w:rPr>
                <w:sz w:val="20"/>
                <w:szCs w:val="20"/>
                <w:lang w:val="en-US"/>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3 963,16</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0,12</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475,58</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8</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Наждачная бумага (шт)</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58,29</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582,90</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9</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Наждачная бумага (шт)</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58,29</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582,90</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Водостойкая наждачная бумага (шт)</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55,95</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559,50</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11</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Готовая основа Standox Basislack (л)</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3 461,21</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1,60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5 537,94</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12</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Растворитель Standox MSB-Verdunnung (л)</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1 191,30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0,80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953,04</w:t>
            </w:r>
          </w:p>
        </w:tc>
      </w:tr>
      <w:tr>
        <w:trPr/>
        <w:tc>
          <w:tcPr>
            <w:tcW w:w="5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13</w:t>
            </w:r>
          </w:p>
        </w:tc>
        <w:tc>
          <w:tcPr>
            <w:tcW w:w="45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sz w:val="20"/>
                <w:szCs w:val="20"/>
              </w:rPr>
            </w:pPr>
            <w:r>
              <w:rPr>
                <w:sz w:val="20"/>
                <w:szCs w:val="20"/>
              </w:rPr>
              <w:t>Липкая протирочная салфетка (шт)</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68,47</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sz w:val="20"/>
                <w:szCs w:val="20"/>
              </w:rPr>
            </w:pPr>
            <w:r>
              <w:rPr>
                <w:sz w:val="20"/>
                <w:szCs w:val="20"/>
              </w:rPr>
              <w:t>10,00</w:t>
            </w:r>
          </w:p>
        </w:tc>
        <w:tc>
          <w:tcPr>
            <w:tcW w:w="24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right"/>
              <w:rPr>
                <w:sz w:val="20"/>
                <w:szCs w:val="20"/>
              </w:rPr>
            </w:pPr>
            <w:r>
              <w:rPr>
                <w:sz w:val="20"/>
                <w:szCs w:val="20"/>
              </w:rPr>
              <w:t>684,70</w:t>
            </w:r>
          </w:p>
        </w:tc>
      </w:tr>
      <w:tr>
        <w:trPr/>
        <w:tc>
          <w:tcPr>
            <w:tcW w:w="5039" w:type="dxa"/>
            <w:gridSpan w:val="2"/>
            <w:tcBorders>
              <w:top w:val="single" w:sz="4" w:space="0" w:color="000000"/>
              <w:bottom w:val="single" w:sz="4" w:space="0" w:color="000000"/>
              <w:insideH w:val="single" w:sz="4" w:space="0" w:color="000000"/>
            </w:tcBorders>
            <w:shd w:fill="auto" w:val="clear"/>
            <w:vAlign w:val="center"/>
          </w:tcPr>
          <w:p>
            <w:pPr>
              <w:pStyle w:val="Normal"/>
              <w:rPr>
                <w:sz w:val="20"/>
                <w:szCs w:val="20"/>
              </w:rPr>
            </w:pPr>
            <w:r>
              <w:rPr>
                <w:b/>
                <w:sz w:val="20"/>
                <w:szCs w:val="20"/>
              </w:rPr>
              <w:t>Итого:</w:t>
            </w:r>
          </w:p>
        </w:tc>
        <w:tc>
          <w:tcPr>
            <w:tcW w:w="4997" w:type="dxa"/>
            <w:gridSpan w:val="3"/>
            <w:tcBorders>
              <w:top w:val="single" w:sz="4" w:space="0" w:color="000000"/>
              <w:bottom w:val="single" w:sz="4" w:space="0" w:color="000000"/>
              <w:insideH w:val="single" w:sz="4" w:space="0" w:color="000000"/>
            </w:tcBorders>
            <w:shd w:fill="auto" w:val="clear"/>
            <w:vAlign w:val="center"/>
          </w:tcPr>
          <w:p>
            <w:pPr>
              <w:pStyle w:val="Normal"/>
              <w:jc w:val="right"/>
              <w:rPr>
                <w:sz w:val="20"/>
                <w:szCs w:val="20"/>
              </w:rPr>
            </w:pPr>
            <w:r>
              <w:rPr>
                <w:sz w:val="20"/>
                <w:szCs w:val="20"/>
              </w:rPr>
              <w:t>14 627,17 РУБ.</w:t>
            </w:r>
          </w:p>
        </w:tc>
      </w:tr>
    </w:tbl>
    <w:p>
      <w:pPr>
        <w:pStyle w:val="Normal"/>
        <w:rPr>
          <w:sz w:val="20"/>
          <w:szCs w:val="20"/>
        </w:rPr>
      </w:pPr>
      <w:r>
        <w:rPr>
          <w:sz w:val="20"/>
          <w:szCs w:val="20"/>
        </w:rPr>
      </w:r>
    </w:p>
    <w:p>
      <w:pPr>
        <w:pStyle w:val="3"/>
        <w:spacing w:before="0" w:after="0"/>
        <w:rPr>
          <w:rFonts w:ascii="Times New Roman" w:hAnsi="Times New Roman" w:cs="Times New Roman"/>
          <w:sz w:val="20"/>
          <w:szCs w:val="20"/>
        </w:rPr>
      </w:pPr>
      <w:r>
        <w:rPr>
          <w:rFonts w:cs="Times New Roman" w:ascii="Times New Roman" w:hAnsi="Times New Roman"/>
          <w:sz w:val="20"/>
          <w:szCs w:val="20"/>
        </w:rPr>
        <w:t>ВСЕГО</w:t>
      </w:r>
    </w:p>
    <w:tbl>
      <w:tblPr>
        <w:tblW w:w="10031"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Look w:val="04a0" w:noVBand="1" w:noHBand="0" w:lastColumn="0" w:firstColumn="1" w:lastRow="0" w:firstRow="1"/>
      </w:tblPr>
      <w:tblGrid>
        <w:gridCol w:w="6514"/>
        <w:gridCol w:w="3516"/>
      </w:tblGrid>
      <w:tr>
        <w:trPr/>
        <w:tc>
          <w:tcPr>
            <w:tcW w:w="6514" w:type="dxa"/>
            <w:tcBorders>
              <w:top w:val="single" w:sz="4" w:space="0" w:color="000000"/>
              <w:bottom w:val="single" w:sz="4" w:space="0" w:color="000000"/>
              <w:insideH w:val="single" w:sz="4" w:space="0" w:color="000000"/>
            </w:tcBorders>
            <w:shd w:fill="auto" w:val="clear"/>
          </w:tcPr>
          <w:p>
            <w:pPr>
              <w:pStyle w:val="Annotationtext"/>
              <w:tabs>
                <w:tab w:val="clear" w:pos="708"/>
                <w:tab w:val="right" w:pos="8100" w:leader="none"/>
                <w:tab w:val="left" w:pos="8460" w:leader="none"/>
              </w:tabs>
              <w:rPr/>
            </w:pPr>
            <w:r>
              <w:rPr/>
              <w:t>стоимость устранения недостатков/дефектов:</w:t>
            </w:r>
          </w:p>
        </w:tc>
        <w:tc>
          <w:tcPr>
            <w:tcW w:w="3516" w:type="dxa"/>
            <w:tcBorders>
              <w:top w:val="single" w:sz="4" w:space="0" w:color="000000"/>
              <w:bottom w:val="single" w:sz="4" w:space="0" w:color="000000"/>
              <w:insideH w:val="single" w:sz="4" w:space="0" w:color="000000"/>
            </w:tcBorders>
            <w:shd w:fill="auto" w:val="clear"/>
          </w:tcPr>
          <w:p>
            <w:pPr>
              <w:pStyle w:val="Annotationtext"/>
              <w:tabs>
                <w:tab w:val="clear" w:pos="708"/>
                <w:tab w:val="right" w:pos="8100" w:leader="none"/>
                <w:tab w:val="left" w:pos="8460" w:leader="none"/>
              </w:tabs>
              <w:jc w:val="right"/>
              <w:rPr/>
            </w:pPr>
            <w:r>
              <w:rPr>
                <w:b/>
              </w:rPr>
              <w:t>267 669,67 РУБ.</w:t>
            </w:r>
          </w:p>
        </w:tc>
      </w:tr>
    </w:tbl>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Normal"/>
        <w:spacing w:before="120" w:after="0"/>
        <w:ind w:firstLine="720"/>
        <w:jc w:val="both"/>
        <w:rPr>
          <w:i/>
          <w:i/>
        </w:rPr>
      </w:pPr>
      <w:r>
        <w:rPr>
          <w:i/>
        </w:rPr>
        <w:t>В соответствии с п. 2.10 с Методического руководства по проведению судебных автотехнических экспертиз и исследований колесных транспортных средств в целях определения размера ущерба, стоимости восстановительного ремонта и оценки. Печатается по решению научно-методического совета ФБУ РФЦСЭ при Минюсте России, Москва 2018г: «…Результат расчетов стоимости КТС, восстановительного ремонта или размера ущерба при формировании выводов исследования округляется до сотен рублей.»</w:t>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Normal"/>
        <w:jc w:val="both"/>
        <w:rPr/>
      </w:pPr>
      <w:r>
        <w:rPr>
          <w:b/>
          <w:i/>
        </w:rPr>
        <w:t>С технической точки зрения стоимость устранения недостатков, в результате не качественного ремонта, транспортного средства MERCEDES-BENZ A 200, регистрационный знак *******</w:t>
      </w:r>
      <w:r>
        <w:rPr/>
        <w:t xml:space="preserve"> </w:t>
      </w:r>
      <w:r>
        <w:rPr>
          <w:b/>
          <w:i/>
        </w:rPr>
        <w:t>составляет - 267 700,00 РУБ. (Двести шестьдесят семь тысяч семьсот рублей 00 копеек).</w:t>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Default"/>
        <w:spacing w:before="0" w:after="0"/>
        <w:jc w:val="center"/>
        <w:rPr>
          <w:rFonts w:ascii="Times New Roman" w:hAnsi="Times New Roman" w:cs="Times New Roman"/>
          <w:b/>
          <w:b/>
          <w:sz w:val="20"/>
        </w:rPr>
      </w:pPr>
      <w:r>
        <w:rPr>
          <w:rFonts w:cs="Times New Roman" w:ascii="Times New Roman" w:hAnsi="Times New Roman"/>
          <w:b/>
          <w:sz w:val="20"/>
        </w:rPr>
      </w:r>
    </w:p>
    <w:p>
      <w:pPr>
        <w:pStyle w:val="Normal"/>
        <w:jc w:val="center"/>
        <w:rPr>
          <w:b/>
          <w:b/>
          <w:bCs/>
        </w:rPr>
      </w:pPr>
      <w:r>
        <w:rPr>
          <w:b/>
          <w:bCs/>
        </w:rPr>
        <w:t xml:space="preserve">ВЫВОДЫ </w:t>
      </w:r>
    </w:p>
    <w:p>
      <w:pPr>
        <w:pStyle w:val="Normal"/>
        <w:jc w:val="center"/>
        <w:rPr>
          <w:b/>
          <w:b/>
          <w:bCs/>
          <w:sz w:val="22"/>
        </w:rPr>
      </w:pPr>
      <w:r>
        <w:rPr>
          <w:b/>
          <w:bCs/>
          <w:sz w:val="22"/>
        </w:rPr>
      </w:r>
    </w:p>
    <w:p>
      <w:pPr>
        <w:pStyle w:val="Normal"/>
        <w:ind w:firstLine="708"/>
        <w:jc w:val="both"/>
        <w:rPr/>
      </w:pPr>
      <w:r>
        <w:rPr>
          <w:b/>
        </w:rPr>
        <w:t xml:space="preserve">Вопрос №1 </w:t>
      </w:r>
      <w:r>
        <w:rPr/>
        <w:t xml:space="preserve">Имеются ли недостатки/дефекты восстановительного ремонта, в результате выполненных работ на СТОА ООО «КСО МОТОРС» по направлению на ремонт 195483/22 ООО «СК «Согласие», на автомобиле </w:t>
      </w:r>
      <w:r>
        <w:rPr>
          <w:lang w:val="en-US"/>
        </w:rPr>
        <w:t>MERCEDES</w:t>
      </w:r>
      <w:r>
        <w:rPr/>
        <w:t>-</w:t>
      </w:r>
      <w:r>
        <w:rPr>
          <w:lang w:val="en-US"/>
        </w:rPr>
        <w:t>BENZ</w:t>
      </w:r>
      <w:r>
        <w:rPr/>
        <w:t xml:space="preserve"> </w:t>
      </w:r>
      <w:r>
        <w:rPr>
          <w:lang w:val="en-US"/>
        </w:rPr>
        <w:t>A</w:t>
      </w:r>
      <w:r>
        <w:rPr/>
        <w:t>200, идентификационный номер (VIN) *******, 2019 года выпуска, регистрационный знак *******</w:t>
      </w:r>
    </w:p>
    <w:p>
      <w:pPr>
        <w:pStyle w:val="Normal"/>
        <w:ind w:right="-84" w:firstLine="708"/>
        <w:jc w:val="both"/>
        <w:rPr>
          <w:b/>
          <w:b/>
          <w:bCs/>
        </w:rPr>
      </w:pPr>
      <w:r>
        <w:rPr>
          <w:b/>
          <w:bCs/>
        </w:rPr>
      </w:r>
    </w:p>
    <w:p>
      <w:pPr>
        <w:pStyle w:val="Normal"/>
        <w:ind w:firstLine="567"/>
        <w:jc w:val="both"/>
        <w:rPr/>
      </w:pPr>
      <w:r>
        <w:rPr>
          <w:b/>
          <w:bCs/>
          <w:u w:val="single"/>
        </w:rPr>
        <w:t xml:space="preserve">Ответ на вопрос №1: </w:t>
      </w:r>
      <w:r>
        <w:rPr/>
        <w:t>В результате проведённого исследования установлено, что автомобиль MERCEDES-BENZ A200, идентификационный номер (VIN) *******, 2019 года выпуска, регистрационный знак ******* имеет недостатки/дефекты восстановительного ремонта в результате выполненных работ на СТОА ООО «КСО МОТОРС» по направлению на ремонт 195483/22 ООО «СК «Согласие», а именно:</w:t>
      </w:r>
    </w:p>
    <w:p>
      <w:pPr>
        <w:pStyle w:val="Normal"/>
        <w:ind w:firstLine="567"/>
        <w:jc w:val="both"/>
        <w:rPr/>
      </w:pPr>
      <w:r>
        <w:rPr/>
      </w:r>
    </w:p>
    <w:p>
      <w:pPr>
        <w:pStyle w:val="Normal"/>
        <w:ind w:firstLine="567"/>
        <w:jc w:val="both"/>
        <w:rPr>
          <w:u w:val="single"/>
        </w:rPr>
      </w:pPr>
      <w:r>
        <w:rPr>
          <w:u w:val="single"/>
        </w:rPr>
        <w:t>-Бампер передний – произведена не качественная окраска.</w:t>
      </w:r>
    </w:p>
    <w:p>
      <w:pPr>
        <w:pStyle w:val="Normal"/>
        <w:ind w:firstLine="567"/>
        <w:jc w:val="both"/>
        <w:rPr>
          <w:u w:val="single"/>
        </w:rPr>
      </w:pPr>
      <w:r>
        <w:rPr>
          <w:u w:val="single"/>
        </w:rPr>
        <w:t>- Фара левая – не заменена, выполнен не качественный ремонт креплений.</w:t>
      </w:r>
    </w:p>
    <w:p>
      <w:pPr>
        <w:pStyle w:val="Normal"/>
        <w:ind w:firstLine="567"/>
        <w:jc w:val="both"/>
        <w:rPr>
          <w:u w:val="single"/>
        </w:rPr>
      </w:pPr>
      <w:r>
        <w:rPr>
          <w:u w:val="single"/>
        </w:rPr>
        <w:t>- Крыло переднее левое – данная деталь замена на бывшую в употреблении с последующей ремонтной окраской с нанесение шпаклевки.</w:t>
      </w:r>
    </w:p>
    <w:p>
      <w:pPr>
        <w:pStyle w:val="Normal"/>
        <w:ind w:firstLine="567"/>
        <w:jc w:val="both"/>
        <w:rPr>
          <w:u w:val="single"/>
        </w:rPr>
      </w:pPr>
      <w:r>
        <w:rPr>
          <w:u w:val="single"/>
        </w:rPr>
        <w:t>- Подкрылок передний левый – не заменен.</w:t>
      </w:r>
    </w:p>
    <w:p>
      <w:pPr>
        <w:pStyle w:val="Normal"/>
        <w:ind w:firstLine="567"/>
        <w:jc w:val="both"/>
        <w:rPr>
          <w:u w:val="single"/>
        </w:rPr>
      </w:pPr>
      <w:r>
        <w:rPr>
          <w:u w:val="single"/>
        </w:rPr>
        <w:t>- Дверь передняя левая - произведена не качественная окраска.</w:t>
      </w:r>
    </w:p>
    <w:p>
      <w:pPr>
        <w:pStyle w:val="Normal"/>
        <w:ind w:firstLine="567"/>
        <w:jc w:val="both"/>
        <w:rPr>
          <w:u w:val="single"/>
        </w:rPr>
      </w:pPr>
      <w:r>
        <w:rPr>
          <w:u w:val="single"/>
        </w:rPr>
        <w:t>- Диск колеса передний левый – окраска не произведена.</w:t>
      </w:r>
    </w:p>
    <w:p>
      <w:pPr>
        <w:pStyle w:val="Normal"/>
        <w:ind w:firstLine="567"/>
        <w:jc w:val="both"/>
        <w:rPr>
          <w:u w:val="single"/>
        </w:rPr>
      </w:pPr>
      <w:r>
        <w:rPr>
          <w:u w:val="single"/>
        </w:rPr>
        <w:t>- Дверь задняя левая – в акте осмотра отсутствуют повреждения данной детали, специалистами СТОА ООО «КСО МОТОРС» произведена не качественная окраска.</w:t>
      </w:r>
    </w:p>
    <w:p>
      <w:pPr>
        <w:pStyle w:val="Normal"/>
        <w:ind w:firstLine="567"/>
        <w:jc w:val="both"/>
        <w:rPr>
          <w:u w:val="single"/>
        </w:rPr>
      </w:pPr>
      <w:r>
        <w:rPr>
          <w:u w:val="single"/>
        </w:rPr>
        <w:t>- Абсорбер переднего бампера – не заменен.</w:t>
      </w:r>
    </w:p>
    <w:p>
      <w:pPr>
        <w:pStyle w:val="Normal"/>
        <w:ind w:firstLine="567"/>
        <w:jc w:val="both"/>
        <w:rPr>
          <w:u w:val="single"/>
        </w:rPr>
      </w:pPr>
      <w:r>
        <w:rPr>
          <w:u w:val="single"/>
        </w:rPr>
      </w:r>
    </w:p>
    <w:p>
      <w:pPr>
        <w:pStyle w:val="Normal"/>
        <w:ind w:firstLine="567"/>
        <w:jc w:val="both"/>
        <w:rPr>
          <w:i/>
          <w:i/>
          <w:iCs/>
        </w:rPr>
      </w:pPr>
      <w:r>
        <w:rPr>
          <w:i/>
          <w:iCs/>
        </w:rPr>
      </w:r>
    </w:p>
    <w:p>
      <w:pPr>
        <w:pStyle w:val="Normal"/>
        <w:ind w:right="-84" w:firstLine="708"/>
        <w:jc w:val="both"/>
        <w:rPr/>
      </w:pPr>
      <w:r>
        <w:rPr>
          <w:b/>
        </w:rPr>
        <w:t>Вопрос №2</w:t>
      </w:r>
      <w:r>
        <w:rPr/>
        <w:t xml:space="preserve"> Если да, то какова стоимость причиненного ущерба, в результате не качественного ремонта ТС </w:t>
      </w:r>
      <w:r>
        <w:rPr>
          <w:lang w:val="en-US"/>
        </w:rPr>
        <w:t>MERCEDES</w:t>
      </w:r>
      <w:r>
        <w:rPr/>
        <w:t>-</w:t>
      </w:r>
      <w:r>
        <w:rPr>
          <w:lang w:val="en-US"/>
        </w:rPr>
        <w:t>BENZ</w:t>
      </w:r>
      <w:r>
        <w:rPr/>
        <w:t xml:space="preserve"> </w:t>
      </w:r>
      <w:r>
        <w:rPr>
          <w:lang w:val="en-US"/>
        </w:rPr>
        <w:t>A</w:t>
      </w:r>
      <w:r>
        <w:rPr/>
        <w:t>200, идентификационный номер (VIN) *******, 2019 года выпуска, государственный знак *******</w:t>
      </w:r>
    </w:p>
    <w:p>
      <w:pPr>
        <w:pStyle w:val="Normal"/>
        <w:ind w:right="-84" w:firstLine="708"/>
        <w:jc w:val="both"/>
        <w:rPr>
          <w:b/>
          <w:b/>
          <w:bCs/>
        </w:rPr>
      </w:pPr>
      <w:r>
        <w:rPr>
          <w:b/>
          <w:bCs/>
        </w:rPr>
      </w:r>
    </w:p>
    <w:p>
      <w:pPr>
        <w:pStyle w:val="Normal"/>
        <w:ind w:firstLine="567"/>
        <w:jc w:val="both"/>
        <w:rPr/>
      </w:pPr>
      <w:r>
        <w:rPr>
          <w:b/>
          <w:bCs/>
          <w:u w:val="single"/>
        </w:rPr>
        <w:t>Ответ на вопрос №2:</w:t>
      </w:r>
      <w:r>
        <w:rPr/>
        <w:t xml:space="preserve"> </w:t>
      </w:r>
    </w:p>
    <w:p>
      <w:pPr>
        <w:pStyle w:val="Normal"/>
        <w:jc w:val="both"/>
        <w:rPr>
          <w:i/>
          <w:i/>
          <w:iCs/>
        </w:rPr>
      </w:pPr>
      <w:r>
        <w:rPr>
          <w:i/>
          <w:iCs/>
        </w:rPr>
      </w:r>
    </w:p>
    <w:p>
      <w:pPr>
        <w:pStyle w:val="Normal"/>
        <w:ind w:firstLine="567"/>
        <w:jc w:val="both"/>
        <w:rPr/>
      </w:pPr>
      <w:r>
        <w:rPr>
          <w:u w:val="single"/>
        </w:rPr>
        <w:t>Стоимость причиненного ущерба, в результате не качественного ремонта ТС MERCEDES-BENZ A200, идентификационный номер (VIN) *******, 2019 года выпуска, государственный регистрационный знак ******* составляет:</w:t>
      </w:r>
    </w:p>
    <w:p>
      <w:pPr>
        <w:pStyle w:val="Normal"/>
        <w:ind w:firstLine="567"/>
        <w:jc w:val="both"/>
        <w:rPr>
          <w:u w:val="single"/>
        </w:rPr>
      </w:pPr>
      <w:r>
        <w:rPr>
          <w:u w:val="single"/>
        </w:rPr>
      </w:r>
    </w:p>
    <w:p>
      <w:pPr>
        <w:pStyle w:val="Normal"/>
        <w:ind w:right="-84" w:firstLine="567"/>
        <w:jc w:val="center"/>
        <w:rPr>
          <w:u w:val="single"/>
        </w:rPr>
      </w:pPr>
      <w:r>
        <w:rPr>
          <w:u w:val="single"/>
        </w:rPr>
        <w:t>267 700,00 РУБ. (Двести шестьдесят семь тысяч семьсот рублей 00 копеек).</w:t>
      </w:r>
    </w:p>
    <w:p>
      <w:pPr>
        <w:pStyle w:val="Normal"/>
        <w:ind w:right="-84" w:firstLine="567"/>
        <w:jc w:val="both"/>
        <w:rPr/>
      </w:pPr>
      <w:r>
        <w:rPr/>
      </w:r>
    </w:p>
    <w:p>
      <w:pPr>
        <w:pStyle w:val="Normal"/>
        <w:tabs>
          <w:tab w:val="clear" w:pos="708"/>
          <w:tab w:val="left" w:pos="-1260" w:leader="none"/>
          <w:tab w:val="left" w:pos="-900" w:leader="none"/>
          <w:tab w:val="left" w:pos="1440" w:leader="none"/>
        </w:tabs>
        <w:rPr>
          <w:b/>
          <w:b/>
          <w:bCs/>
        </w:rPr>
      </w:pPr>
      <w:r>
        <w:rPr>
          <w:b/>
          <w:bCs/>
        </w:rPr>
      </w:r>
    </w:p>
    <w:p>
      <w:pPr>
        <w:pStyle w:val="Normal"/>
        <w:tabs>
          <w:tab w:val="clear" w:pos="708"/>
          <w:tab w:val="left" w:pos="-1260" w:leader="none"/>
          <w:tab w:val="left" w:pos="-900" w:leader="none"/>
          <w:tab w:val="left" w:pos="1440" w:leader="none"/>
        </w:tabs>
        <w:rPr>
          <w:b/>
          <w:b/>
          <w:bCs/>
        </w:rPr>
      </w:pPr>
      <w:r>
        <w:rPr>
          <w:b/>
          <w:bCs/>
        </w:rPr>
        <w:t xml:space="preserve">Специалист (эксперт-техник)                                                                                      Григорьев М.А. </w:t>
      </w:r>
    </w:p>
    <w:p>
      <w:pPr>
        <w:pStyle w:val="Normal"/>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ПРИЛОЖЕНИЯ</w:t>
      </w:r>
    </w:p>
    <w:p>
      <w:pPr>
        <w:pStyle w:val="Normal"/>
        <w:jc w:val="center"/>
        <w:rPr>
          <w:b/>
          <w:b/>
        </w:rPr>
      </w:pPr>
      <w:r>
        <w:rPr>
          <w:b/>
        </w:rPr>
        <w:t>ДОКУМЕНТЫ СПЕЦИАЛИСТА</w:t>
      </w:r>
    </w:p>
    <w:tbl>
      <w:tblPr>
        <w:tblW w:w="10348" w:type="dxa"/>
        <w:jc w:val="left"/>
        <w:tblInd w:w="0" w:type="dxa"/>
        <w:tblBorders/>
        <w:tblCellMar>
          <w:top w:w="0" w:type="dxa"/>
          <w:left w:w="108" w:type="dxa"/>
          <w:bottom w:w="0" w:type="dxa"/>
          <w:right w:w="108" w:type="dxa"/>
        </w:tblCellMar>
        <w:tblLook w:val="04a0" w:noVBand="1" w:noHBand="0" w:lastColumn="0" w:firstColumn="1" w:lastRow="0" w:firstRow="1"/>
      </w:tblPr>
      <w:tblGrid>
        <w:gridCol w:w="4967"/>
        <w:gridCol w:w="5380"/>
      </w:tblGrid>
      <w:tr>
        <w:trPr/>
        <w:tc>
          <w:tcPr>
            <w:tcW w:w="4967" w:type="dxa"/>
            <w:tcBorders/>
            <w:shd w:fill="auto" w:val="clear"/>
          </w:tcPr>
          <w:p>
            <w:pPr>
              <w:pStyle w:val="Normal"/>
              <w:jc w:val="center"/>
              <w:rPr>
                <w:b/>
                <w:b/>
              </w:rPr>
            </w:pPr>
            <w:r>
              <w:rPr/>
              <w:drawing>
                <wp:inline distT="0" distB="635" distL="0" distR="0">
                  <wp:extent cx="2938780" cy="4095115"/>
                  <wp:effectExtent l="0" t="0" r="0" b="0"/>
                  <wp:docPr id="45" name="Рисунок 151" descr="C:\Users\smena\AppData\Local\Microsoft\Windows\INetCache\Content.Word\Сертификат Пользователя ПО Аудатэк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51" descr="C:\Users\smena\AppData\Local\Microsoft\Windows\INetCache\Content.Word\Сертификат Пользователя ПО Аудатэкс_page-0001.jpg"/>
                          <pic:cNvPicPr>
                            <a:picLocks noChangeAspect="1" noChangeArrowheads="1"/>
                          </pic:cNvPicPr>
                        </pic:nvPicPr>
                        <pic:blipFill>
                          <a:blip r:embed="rId49"/>
                          <a:stretch>
                            <a:fillRect/>
                          </a:stretch>
                        </pic:blipFill>
                        <pic:spPr bwMode="auto">
                          <a:xfrm>
                            <a:off x="0" y="0"/>
                            <a:ext cx="2938780" cy="4095115"/>
                          </a:xfrm>
                          <a:prstGeom prst="rect">
                            <a:avLst/>
                          </a:prstGeom>
                        </pic:spPr>
                      </pic:pic>
                    </a:graphicData>
                  </a:graphic>
                </wp:inline>
              </w:drawing>
            </w:r>
          </w:p>
        </w:tc>
        <w:tc>
          <w:tcPr>
            <w:tcW w:w="5380" w:type="dxa"/>
            <w:tcBorders/>
            <w:shd w:fill="auto" w:val="clear"/>
          </w:tcPr>
          <w:p>
            <w:pPr>
              <w:pStyle w:val="Normal"/>
              <w:jc w:val="center"/>
              <w:rPr>
                <w:b/>
                <w:b/>
              </w:rPr>
            </w:pPr>
            <w:r>
              <w:rPr/>
              <w:drawing>
                <wp:inline distT="0" distB="0" distL="0" distR="0">
                  <wp:extent cx="3124200" cy="4133850"/>
                  <wp:effectExtent l="0" t="0" r="0" b="0"/>
                  <wp:docPr id="46"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52" descr=""/>
                          <pic:cNvPicPr>
                            <a:picLocks noChangeAspect="1" noChangeArrowheads="1"/>
                          </pic:cNvPicPr>
                        </pic:nvPicPr>
                        <pic:blipFill>
                          <a:blip r:embed="rId50"/>
                          <a:stretch>
                            <a:fillRect/>
                          </a:stretch>
                        </pic:blipFill>
                        <pic:spPr bwMode="auto">
                          <a:xfrm>
                            <a:off x="0" y="0"/>
                            <a:ext cx="3124200" cy="4133850"/>
                          </a:xfrm>
                          <a:prstGeom prst="rect">
                            <a:avLst/>
                          </a:prstGeom>
                        </pic:spPr>
                      </pic:pic>
                    </a:graphicData>
                  </a:graphic>
                </wp:inline>
              </w:drawing>
            </w:r>
          </w:p>
        </w:tc>
      </w:tr>
      <w:tr>
        <w:trPr/>
        <w:tc>
          <w:tcPr>
            <w:tcW w:w="4967" w:type="dxa"/>
            <w:tcBorders/>
            <w:shd w:fill="auto" w:val="clear"/>
          </w:tcPr>
          <w:p>
            <w:pPr>
              <w:pStyle w:val="Normal"/>
              <w:jc w:val="center"/>
              <w:rPr>
                <w:b/>
                <w:b/>
              </w:rPr>
            </w:pPr>
            <w:r>
              <w:rPr/>
              <w:drawing>
                <wp:inline distT="0" distB="9525" distL="0" distR="0">
                  <wp:extent cx="3067050" cy="4371975"/>
                  <wp:effectExtent l="0" t="0" r="0" b="0"/>
                  <wp:docPr id="47"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53" descr=""/>
                          <pic:cNvPicPr>
                            <a:picLocks noChangeAspect="1" noChangeArrowheads="1"/>
                          </pic:cNvPicPr>
                        </pic:nvPicPr>
                        <pic:blipFill>
                          <a:blip r:embed="rId51"/>
                          <a:stretch>
                            <a:fillRect/>
                          </a:stretch>
                        </pic:blipFill>
                        <pic:spPr bwMode="auto">
                          <a:xfrm>
                            <a:off x="0" y="0"/>
                            <a:ext cx="3067050" cy="4371975"/>
                          </a:xfrm>
                          <a:prstGeom prst="rect">
                            <a:avLst/>
                          </a:prstGeom>
                        </pic:spPr>
                      </pic:pic>
                    </a:graphicData>
                  </a:graphic>
                </wp:inline>
              </w:drawing>
            </w:r>
          </w:p>
        </w:tc>
        <w:tc>
          <w:tcPr>
            <w:tcW w:w="5380" w:type="dxa"/>
            <w:tcBorders/>
            <w:shd w:fill="auto" w:val="clear"/>
          </w:tcPr>
          <w:p>
            <w:pPr>
              <w:pStyle w:val="Normal"/>
              <w:jc w:val="center"/>
              <w:rPr>
                <w:b/>
                <w:b/>
              </w:rPr>
            </w:pPr>
            <w:r>
              <w:rPr/>
              <mc:AlternateContent>
                <mc:Choice Requires="wps">
                  <w:drawing>
                    <wp:inline distT="0" distB="0" distL="0" distR="0" wp14:anchorId="458C82B6">
                      <wp:extent cx="4401185" cy="3324860"/>
                      <wp:effectExtent l="4762" t="0" r="4763" b="4762"/>
                      <wp:docPr id="48" name="Рисунок 6"/>
                      <a:graphic xmlns:a="http://schemas.openxmlformats.org/drawingml/2006/main">
                        <a:graphicData uri="http://schemas.openxmlformats.org/drawingml/2006/picture">
                          <pic:pic xmlns:pic="http://schemas.openxmlformats.org/drawingml/2006/picture">
                            <pic:nvPicPr>
                              <pic:cNvPr id="37" name="Рисунок 6" descr=""/>
                              <pic:cNvPicPr/>
                            </pic:nvPicPr>
                            <pic:blipFill>
                              <a:blip r:embed="rId52"/>
                              <a:stretch/>
                            </pic:blipFill>
                            <pic:spPr>
                              <a:xfrm rot="16200000">
                                <a:off x="0" y="0"/>
                                <a:ext cx="4400640" cy="3324240"/>
                              </a:xfrm>
                              <a:prstGeom prst="rect">
                                <a:avLst/>
                              </a:prstGeom>
                              <a:ln>
                                <a:noFill/>
                              </a:ln>
                            </pic:spPr>
                          </pic:pic>
                        </a:graphicData>
                      </a:graphic>
                    </wp:inline>
                  </w:drawing>
                </mc:Choice>
                <mc:Fallback>
                  <w:pict>
                    <v:shape id="shape_0" ID="Рисунок 6" stroked="f" style="position:absolute;margin-left:-42.35pt;margin-top:-304.2pt;width:346.45pt;height:261.7pt;rotation:270;mso-position-vertical:top" wp14:anchorId="458C82B6" type="shapetype_75">
                      <v:imagedata r:id="rId52" o:detectmouseclick="t"/>
                      <w10:wrap type="none"/>
                      <v:stroke color="#3465a4" joinstyle="round" endcap="flat"/>
                    </v:shape>
                  </w:pict>
                </mc:Fallback>
              </mc:AlternateContent>
            </w:r>
          </w:p>
        </w:tc>
      </w:tr>
    </w:tbl>
    <w:p>
      <w:pPr>
        <w:pStyle w:val="Normal"/>
        <w:jc w:val="center"/>
        <w:rPr/>
      </w:pPr>
      <w:r>
        <w:rPr/>
      </w:r>
    </w:p>
    <w:sectPr>
      <w:headerReference w:type="default" r:id="rId53"/>
      <w:footerReference w:type="default" r:id="rId54"/>
      <w:type w:val="nextPage"/>
      <w:pgSz w:w="11906" w:h="16838"/>
      <w:pgMar w:left="1134" w:right="424" w:header="227" w:top="851" w:footer="0" w:bottom="85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w:charset w:val="01"/>
    <w:family w:val="roman"/>
    <w:pitch w:val="variable"/>
  </w:font>
  <w:font w:name="Tahoma">
    <w:charset w:val="01"/>
    <w:family w:val="roman"/>
    <w:pitch w:val="variable"/>
  </w:font>
  <w:font w:name="Arial Narrow">
    <w:charset w:val="01"/>
    <w:family w:val="roman"/>
    <w:pitch w:val="variable"/>
  </w:font>
  <w:font w:name="Arial Unicode MS">
    <w:charset w:val="01"/>
    <w:family w:val="roman"/>
    <w:pitch w:val="variable"/>
  </w:font>
  <w:font w:name="Liberation Sans">
    <w:altName w:val="Arial"/>
    <w:charset w:val="01"/>
    <w:family w:val="swiss"/>
    <w:pitch w:val="variable"/>
  </w:font>
  <w:font w:name="Vanta Light">
    <w:charset w:val="01"/>
    <w:family w:val="roman"/>
    <w:pitch w:val="variable"/>
  </w:font>
  <w:font w:name="Myriad Pro Cond">
    <w:charset w:val="01"/>
    <w:family w:val="roman"/>
    <w:pitch w:val="variable"/>
  </w:font>
  <w:font w:name="Courier New">
    <w:charset w:val="01"/>
    <w:family w:val="roman"/>
    <w:pitch w:val="variable"/>
  </w:font>
  <w:font w:name="Symbol">
    <w:charset w:val="02"/>
    <w:family w:val="auto"/>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jc w:val="center"/>
      <w:rPr/>
    </w:pPr>
    <w:r>
      <w:rPr/>
      <w:fldChar w:fldCharType="begin"/>
    </w:r>
    <w:r>
      <w:rPr/>
      <w:instrText> PAGE </w:instrText>
    </w:r>
    <w:r>
      <w:rPr/>
      <w:fldChar w:fldCharType="separate"/>
    </w:r>
    <w:r>
      <w:rPr/>
      <w:t>3</w:t>
    </w:r>
    <w:r>
      <w:rPr/>
      <w:fldChar w:fldCharType="end"/>
    </w:r>
  </w:p>
  <w:p>
    <w:pPr>
      <w:pStyle w:val="Style32"/>
      <w:rPr/>
    </w:pPr>
    <w:r>
      <w:rPr/>
    </w:r>
  </w:p>
  <w:p>
    <w:pPr>
      <w:pStyle w:val="Normal"/>
      <w:rPr/>
    </w:pPr>
    <w:r>
      <w:rPr/>
    </w:r>
  </w:p>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shd w:val="clear" w:color="auto" w:fill="FFFFFF"/>
      <w:tabs>
        <w:tab w:val="clear" w:pos="708"/>
        <w:tab w:val="left" w:pos="8290" w:leader="underscore"/>
      </w:tabs>
      <w:spacing w:lineRule="exact" w:line="317"/>
      <w:rPr>
        <w:spacing w:val="-1"/>
        <w:sz w:val="22"/>
        <w:szCs w:val="22"/>
      </w:rPr>
    </w:pPr>
    <w:bookmarkStart w:id="5" w:name="_Hlk31792538"/>
    <w:r>
      <w:rPr>
        <w:b/>
        <w:i/>
        <w:szCs w:val="32"/>
      </w:rPr>
      <w:t>ЗАКЛЮЧЕНИЕ СПЕЦИАЛИСТА №5859-0323                         ООО «Европейский Центр Оценки»</w:t>
    </w:r>
    <w:r>
      <w:rPr>
        <w:spacing w:val="-1"/>
        <w:sz w:val="22"/>
        <w:szCs w:val="22"/>
      </w:rPr>
      <w:t xml:space="preserve"> </w:t>
    </w:r>
    <w:bookmarkEnd w:id="5"/>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41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rPr>
        <w:sz w:val="24"/>
        <w:b/>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0" w:hanging="0"/>
      </w:pPr>
      <w:rPr>
        <w:rFonts w:ascii="Times New Roman" w:hAnsi="Times New Roman" w:cs="Times New Roman" w:hint="default"/>
        <w:smallCaps w:val="false"/>
        <w:caps w:val="false"/>
        <w:dstrike w:val="false"/>
        <w:strike w:val="false"/>
        <w:sz w:val="24"/>
        <w:spacing w:val="0"/>
        <w:i w:val="false"/>
        <w:u w:val="none"/>
        <w:b w:val="false"/>
        <w:effect w:val="none"/>
        <w:szCs w:val="19"/>
        <w:iCs w:val="false"/>
        <w:bCs w:val="false"/>
        <w:w w:val="100"/>
        <w:rFonts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5"/>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itle" w:uiPriority="99" w:qFormat="1"/>
    <w:lsdException w:name="Subtitle" w:qFormat="1"/>
    <w:lsdException w:name="FollowedHyperlink" w:uiPriority="99"/>
    <w:lsdException w:name="Strong" w:uiPriority="99"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968b8"/>
    <w:pPr>
      <w:widowControl/>
      <w:bidi w:val="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autoRedefine/>
    <w:qFormat/>
    <w:rsid w:val="00605589"/>
    <w:pPr>
      <w:keepNext w:val="true"/>
      <w:tabs>
        <w:tab w:val="clear" w:pos="708"/>
        <w:tab w:val="left" w:pos="-1260" w:leader="none"/>
        <w:tab w:val="left" w:pos="-900" w:leader="none"/>
        <w:tab w:val="left" w:pos="2160" w:leader="none"/>
        <w:tab w:val="left" w:pos="7230" w:leader="none"/>
      </w:tabs>
      <w:overflowPunct w:val="true"/>
      <w:spacing w:before="0" w:after="0"/>
      <w:contextualSpacing/>
      <w:jc w:val="center"/>
      <w:textAlignment w:val="baseline"/>
      <w:outlineLvl w:val="0"/>
    </w:pPr>
    <w:rPr>
      <w:rFonts w:ascii="Arial" w:hAnsi="Arial" w:cs="Arial"/>
      <w:kern w:val="2"/>
      <w:sz w:val="18"/>
      <w:szCs w:val="18"/>
    </w:rPr>
  </w:style>
  <w:style w:type="paragraph" w:styleId="2">
    <w:name w:val="Heading 2"/>
    <w:basedOn w:val="Normal"/>
    <w:next w:val="Normal"/>
    <w:autoRedefine/>
    <w:qFormat/>
    <w:rsid w:val="000546f8"/>
    <w:pPr>
      <w:keepNext w:val="true"/>
      <w:overflowPunct w:val="true"/>
      <w:spacing w:lineRule="atLeast" w:line="288" w:before="0" w:after="300"/>
      <w:jc w:val="center"/>
      <w:textAlignment w:val="baseline"/>
      <w:outlineLvl w:val="1"/>
    </w:pPr>
    <w:rPr>
      <w:bCs/>
      <w:iCs/>
      <w:sz w:val="27"/>
      <w:szCs w:val="27"/>
    </w:rPr>
  </w:style>
  <w:style w:type="paragraph" w:styleId="3">
    <w:name w:val="Heading 3"/>
    <w:basedOn w:val="Normal"/>
    <w:next w:val="Normal"/>
    <w:link w:val="31"/>
    <w:qFormat/>
    <w:rsid w:val="00716026"/>
    <w:pPr>
      <w:keepNext w:val="true"/>
      <w:spacing w:before="240" w:after="60"/>
      <w:outlineLvl w:val="2"/>
    </w:pPr>
    <w:rPr>
      <w:rFonts w:ascii="Arial" w:hAnsi="Arial" w:cs="Arial"/>
      <w:b/>
      <w:bCs/>
      <w:sz w:val="26"/>
      <w:szCs w:val="26"/>
    </w:rPr>
  </w:style>
  <w:style w:type="paragraph" w:styleId="4">
    <w:name w:val="Heading 4"/>
    <w:basedOn w:val="Normal"/>
    <w:next w:val="Normal"/>
    <w:link w:val="40"/>
    <w:qFormat/>
    <w:rsid w:val="00391129"/>
    <w:pPr>
      <w:keepNext w:val="true"/>
      <w:spacing w:before="240" w:after="60"/>
      <w:outlineLvl w:val="3"/>
    </w:pPr>
    <w:rPr>
      <w:rFonts w:ascii="Calibri" w:hAnsi="Calibri"/>
      <w:b/>
      <w:bCs/>
      <w:sz w:val="28"/>
      <w:szCs w:val="28"/>
      <w:lang w:val="x-none" w:eastAsia="x-none"/>
    </w:rPr>
  </w:style>
  <w:style w:type="paragraph" w:styleId="8">
    <w:name w:val="Heading 8"/>
    <w:basedOn w:val="Normal"/>
    <w:next w:val="Normal"/>
    <w:link w:val="80"/>
    <w:qFormat/>
    <w:rsid w:val="00911ccd"/>
    <w:pPr>
      <w:spacing w:before="240" w:after="60"/>
      <w:outlineLvl w:val="7"/>
    </w:pPr>
    <w:rPr>
      <w:rFonts w:ascii="Calibri" w:hAnsi="Calibri"/>
      <w:i/>
      <w:iCs/>
      <w:lang w:val="x-none" w:eastAsia="x-none"/>
    </w:rPr>
  </w:style>
  <w:style w:type="character" w:styleId="DefaultParagraphFont" w:default="1">
    <w:name w:val="Default Paragraph Font"/>
    <w:uiPriority w:val="1"/>
    <w:semiHidden/>
    <w:unhideWhenUsed/>
    <w:qFormat/>
    <w:rPr/>
  </w:style>
  <w:style w:type="character" w:styleId="31" w:customStyle="1">
    <w:name w:val="Заголовок 3 Знак"/>
    <w:basedOn w:val="DefaultParagraphFont"/>
    <w:link w:val="30"/>
    <w:qFormat/>
    <w:rsid w:val="00326c27"/>
    <w:rPr>
      <w:rFonts w:ascii="Arial" w:hAnsi="Arial" w:cs="Arial"/>
      <w:b/>
      <w:bCs/>
      <w:sz w:val="26"/>
      <w:szCs w:val="26"/>
    </w:rPr>
  </w:style>
  <w:style w:type="character" w:styleId="41" w:customStyle="1">
    <w:name w:val="Заголовок 4 Знак"/>
    <w:link w:val="4"/>
    <w:semiHidden/>
    <w:qFormat/>
    <w:rsid w:val="00391129"/>
    <w:rPr>
      <w:rFonts w:ascii="Calibri" w:hAnsi="Calibri" w:eastAsia="Times New Roman" w:cs="Times New Roman"/>
      <w:b/>
      <w:bCs/>
      <w:sz w:val="28"/>
      <w:szCs w:val="28"/>
    </w:rPr>
  </w:style>
  <w:style w:type="character" w:styleId="81" w:customStyle="1">
    <w:name w:val="Заголовок 8 Знак"/>
    <w:link w:val="8"/>
    <w:semiHidden/>
    <w:qFormat/>
    <w:rsid w:val="00911ccd"/>
    <w:rPr>
      <w:rFonts w:ascii="Calibri" w:hAnsi="Calibri" w:eastAsia="Times New Roman" w:cs="Times New Roman"/>
      <w:i/>
      <w:iCs/>
      <w:sz w:val="24"/>
      <w:szCs w:val="24"/>
    </w:rPr>
  </w:style>
  <w:style w:type="character" w:styleId="Style9" w:customStyle="1">
    <w:name w:val="Верхний колонтитул Знак"/>
    <w:link w:val="a4"/>
    <w:uiPriority w:val="99"/>
    <w:qFormat/>
    <w:rsid w:val="002e6b39"/>
    <w:rPr>
      <w:sz w:val="24"/>
      <w:szCs w:val="24"/>
    </w:rPr>
  </w:style>
  <w:style w:type="character" w:styleId="Style10" w:customStyle="1">
    <w:name w:val="Нижний колонтитул Знак"/>
    <w:link w:val="a6"/>
    <w:uiPriority w:val="99"/>
    <w:qFormat/>
    <w:rsid w:val="00466d30"/>
    <w:rPr>
      <w:sz w:val="24"/>
      <w:szCs w:val="24"/>
    </w:rPr>
  </w:style>
  <w:style w:type="character" w:styleId="Style11" w:customStyle="1">
    <w:name w:val="Основной текст Знак"/>
    <w:link w:val="a8"/>
    <w:qFormat/>
    <w:rsid w:val="00b9001d"/>
    <w:rPr/>
  </w:style>
  <w:style w:type="character" w:styleId="32" w:customStyle="1">
    <w:name w:val="Основной текст с отступом Знак3"/>
    <w:link w:val="aa"/>
    <w:qFormat/>
    <w:rsid w:val="00f4218c"/>
    <w:rPr>
      <w:sz w:val="24"/>
      <w:szCs w:val="24"/>
    </w:rPr>
  </w:style>
  <w:style w:type="character" w:styleId="7" w:customStyle="1">
    <w:name w:val="Основной текст (7)_"/>
    <w:link w:val="71"/>
    <w:qFormat/>
    <w:rsid w:val="0074401f"/>
    <w:rPr>
      <w:b/>
      <w:bCs/>
      <w:smallCaps/>
      <w:sz w:val="26"/>
      <w:szCs w:val="26"/>
      <w:lang w:bidi="ar-SA"/>
    </w:rPr>
  </w:style>
  <w:style w:type="character" w:styleId="74" w:customStyle="1">
    <w:name w:val="Основной текст (7) + Не малые прописные4"/>
    <w:basedOn w:val="7"/>
    <w:qFormat/>
    <w:rsid w:val="0074401f"/>
    <w:rPr>
      <w:b/>
      <w:bCs/>
      <w:smallCaps/>
      <w:sz w:val="26"/>
      <w:szCs w:val="26"/>
      <w:lang w:bidi="ar-SA"/>
    </w:rPr>
  </w:style>
  <w:style w:type="character" w:styleId="78" w:customStyle="1">
    <w:name w:val="Основной текст (7)8"/>
    <w:basedOn w:val="7"/>
    <w:qFormat/>
    <w:rsid w:val="0074401f"/>
    <w:rPr>
      <w:b/>
      <w:bCs/>
      <w:smallCaps/>
      <w:sz w:val="26"/>
      <w:szCs w:val="26"/>
      <w:lang w:bidi="ar-SA"/>
    </w:rPr>
  </w:style>
  <w:style w:type="character" w:styleId="Style12">
    <w:name w:val="Интернет-ссылка"/>
    <w:rsid w:val="00da3d07"/>
    <w:rPr>
      <w:color w:val="0066CC"/>
      <w:u w:val="single"/>
    </w:rPr>
  </w:style>
  <w:style w:type="character" w:styleId="9" w:customStyle="1">
    <w:name w:val="Заголовок №9_"/>
    <w:link w:val="91"/>
    <w:qFormat/>
    <w:rsid w:val="00da3d07"/>
    <w:rPr>
      <w:b/>
      <w:bCs/>
      <w:smallCaps/>
      <w:sz w:val="26"/>
      <w:szCs w:val="26"/>
      <w:lang w:bidi="ar-SA"/>
    </w:rPr>
  </w:style>
  <w:style w:type="character" w:styleId="94" w:customStyle="1">
    <w:name w:val="Заголовок №9 + Не малые прописные4"/>
    <w:basedOn w:val="9"/>
    <w:qFormat/>
    <w:rsid w:val="00da3d07"/>
    <w:rPr>
      <w:b/>
      <w:bCs/>
      <w:smallCaps/>
      <w:sz w:val="26"/>
      <w:szCs w:val="26"/>
      <w:lang w:bidi="ar-SA"/>
    </w:rPr>
  </w:style>
  <w:style w:type="character" w:styleId="96" w:customStyle="1">
    <w:name w:val="Заголовок №96"/>
    <w:basedOn w:val="9"/>
    <w:qFormat/>
    <w:rsid w:val="00da3d07"/>
    <w:rPr>
      <w:b/>
      <w:bCs/>
      <w:smallCaps/>
      <w:sz w:val="26"/>
      <w:szCs w:val="26"/>
      <w:lang w:bidi="ar-SA"/>
    </w:rPr>
  </w:style>
  <w:style w:type="character" w:styleId="73" w:customStyle="1">
    <w:name w:val="Основной текст (7) + Не малые прописные3"/>
    <w:qFormat/>
    <w:rsid w:val="002f2109"/>
    <w:rPr>
      <w:rFonts w:ascii="Times New Roman" w:hAnsi="Times New Roman" w:cs="Times New Roman"/>
      <w:b w:val="false"/>
      <w:bCs w:val="false"/>
      <w:smallCaps/>
      <w:spacing w:val="0"/>
      <w:sz w:val="26"/>
      <w:szCs w:val="26"/>
      <w:lang w:bidi="ar-SA"/>
    </w:rPr>
  </w:style>
  <w:style w:type="character" w:styleId="77" w:customStyle="1">
    <w:name w:val="Основной текст (7)7"/>
    <w:qFormat/>
    <w:rsid w:val="002f2109"/>
    <w:rPr>
      <w:rFonts w:ascii="Times New Roman" w:hAnsi="Times New Roman" w:cs="Times New Roman"/>
      <w:b w:val="false"/>
      <w:bCs w:val="false"/>
      <w:caps w:val="false"/>
      <w:smallCaps w:val="false"/>
      <w:spacing w:val="0"/>
      <w:sz w:val="26"/>
      <w:szCs w:val="26"/>
      <w:lang w:bidi="ar-SA"/>
    </w:rPr>
  </w:style>
  <w:style w:type="character" w:styleId="10" w:customStyle="1">
    <w:name w:val="Заголовок №10_"/>
    <w:link w:val="101"/>
    <w:qFormat/>
    <w:rsid w:val="005640cf"/>
    <w:rPr>
      <w:b/>
      <w:bCs/>
      <w:lang w:bidi="ar-SA"/>
    </w:rPr>
  </w:style>
  <w:style w:type="character" w:styleId="6" w:customStyle="1">
    <w:name w:val="Основной текст (6)_"/>
    <w:link w:val="60"/>
    <w:qFormat/>
    <w:rsid w:val="005640cf"/>
    <w:rPr>
      <w:b/>
      <w:bCs/>
      <w:sz w:val="23"/>
      <w:szCs w:val="23"/>
      <w:lang w:bidi="ar-SA"/>
    </w:rPr>
  </w:style>
  <w:style w:type="character" w:styleId="1010" w:customStyle="1">
    <w:name w:val="Заголовок №1010"/>
    <w:basedOn w:val="10"/>
    <w:qFormat/>
    <w:rsid w:val="005640cf"/>
    <w:rPr>
      <w:b/>
      <w:bCs/>
      <w:lang w:bidi="ar-SA"/>
    </w:rPr>
  </w:style>
  <w:style w:type="character" w:styleId="Style13" w:customStyle="1">
    <w:name w:val="Основной текст + Полужирный"/>
    <w:qFormat/>
    <w:rsid w:val="005640cf"/>
    <w:rPr>
      <w:rFonts w:ascii="Times New Roman" w:hAnsi="Times New Roman" w:cs="Times New Roman"/>
      <w:b/>
      <w:bCs/>
      <w:spacing w:val="0"/>
      <w:sz w:val="23"/>
      <w:szCs w:val="23"/>
    </w:rPr>
  </w:style>
  <w:style w:type="character" w:styleId="82" w:customStyle="1">
    <w:name w:val="Основной текст (8)_"/>
    <w:link w:val="810"/>
    <w:qFormat/>
    <w:rsid w:val="005640cf"/>
    <w:rPr>
      <w:i/>
      <w:iCs/>
      <w:lang w:bidi="ar-SA"/>
    </w:rPr>
  </w:style>
  <w:style w:type="character" w:styleId="83" w:customStyle="1">
    <w:name w:val="Основной текст (8) + Полужирный"/>
    <w:qFormat/>
    <w:rsid w:val="005640cf"/>
    <w:rPr>
      <w:b/>
      <w:bCs/>
      <w:i/>
      <w:iCs/>
      <w:lang w:bidi="ar-SA"/>
    </w:rPr>
  </w:style>
  <w:style w:type="character" w:styleId="63" w:customStyle="1">
    <w:name w:val="Основной текст (6) + Не полужирный3"/>
    <w:basedOn w:val="6"/>
    <w:qFormat/>
    <w:rsid w:val="005640cf"/>
    <w:rPr>
      <w:b/>
      <w:bCs/>
      <w:sz w:val="23"/>
      <w:szCs w:val="23"/>
      <w:lang w:bidi="ar-SA"/>
    </w:rPr>
  </w:style>
  <w:style w:type="character" w:styleId="92" w:customStyle="1">
    <w:name w:val="Заголовок №9 (2)_"/>
    <w:link w:val="921"/>
    <w:qFormat/>
    <w:rsid w:val="00d25ff1"/>
    <w:rPr>
      <w:b/>
      <w:bCs/>
      <w:sz w:val="26"/>
      <w:szCs w:val="26"/>
      <w:lang w:bidi="ar-SA"/>
    </w:rPr>
  </w:style>
  <w:style w:type="character" w:styleId="Style14" w:customStyle="1">
    <w:name w:val="Подпись к таблице_"/>
    <w:link w:val="11"/>
    <w:qFormat/>
    <w:rsid w:val="00d25ff1"/>
    <w:rPr>
      <w:i/>
      <w:iCs/>
      <w:lang w:bidi="ar-SA"/>
    </w:rPr>
  </w:style>
  <w:style w:type="character" w:styleId="101" w:customStyle="1">
    <w:name w:val="Основной текст (10)_"/>
    <w:link w:val="1011"/>
    <w:qFormat/>
    <w:rsid w:val="00d25ff1"/>
    <w:rPr>
      <w:b/>
      <w:bCs/>
      <w:sz w:val="19"/>
      <w:szCs w:val="19"/>
      <w:lang w:bidi="ar-SA"/>
    </w:rPr>
  </w:style>
  <w:style w:type="character" w:styleId="91" w:customStyle="1">
    <w:name w:val="Основной текст (9)_"/>
    <w:link w:val="910"/>
    <w:qFormat/>
    <w:rsid w:val="00d25ff1"/>
    <w:rPr>
      <w:sz w:val="19"/>
      <w:szCs w:val="19"/>
      <w:lang w:bidi="ar-SA"/>
    </w:rPr>
  </w:style>
  <w:style w:type="character" w:styleId="925" w:customStyle="1">
    <w:name w:val="Заголовок №9 (2)5"/>
    <w:basedOn w:val="92"/>
    <w:qFormat/>
    <w:rsid w:val="00d25ff1"/>
    <w:rPr>
      <w:b/>
      <w:bCs/>
      <w:sz w:val="26"/>
      <w:szCs w:val="26"/>
      <w:lang w:bidi="ar-SA"/>
    </w:rPr>
  </w:style>
  <w:style w:type="character" w:styleId="108" w:customStyle="1">
    <w:name w:val="Заголовок №108"/>
    <w:qFormat/>
    <w:rsid w:val="00d25ff1"/>
    <w:rPr>
      <w:rFonts w:ascii="Times New Roman" w:hAnsi="Times New Roman" w:cs="Times New Roman"/>
      <w:b w:val="false"/>
      <w:bCs w:val="false"/>
      <w:spacing w:val="0"/>
      <w:lang w:bidi="ar-SA"/>
    </w:rPr>
  </w:style>
  <w:style w:type="character" w:styleId="33" w:customStyle="1">
    <w:name w:val="Подпись к таблице + Полужирный3"/>
    <w:qFormat/>
    <w:rsid w:val="00d25ff1"/>
    <w:rPr>
      <w:b/>
      <w:bCs/>
      <w:i/>
      <w:iCs/>
      <w:lang w:bidi="ar-SA"/>
    </w:rPr>
  </w:style>
  <w:style w:type="character" w:styleId="42" w:customStyle="1">
    <w:name w:val="Подпись к таблице4"/>
    <w:basedOn w:val="Style14"/>
    <w:qFormat/>
    <w:rsid w:val="00d25ff1"/>
    <w:rPr>
      <w:i/>
      <w:iCs/>
      <w:lang w:bidi="ar-SA"/>
    </w:rPr>
  </w:style>
  <w:style w:type="character" w:styleId="1012" w:customStyle="1">
    <w:name w:val="Основной текст (10)12"/>
    <w:basedOn w:val="101"/>
    <w:qFormat/>
    <w:rsid w:val="00d25ff1"/>
    <w:rPr>
      <w:b/>
      <w:bCs/>
      <w:sz w:val="19"/>
      <w:szCs w:val="19"/>
      <w:lang w:bidi="ar-SA"/>
    </w:rPr>
  </w:style>
  <w:style w:type="character" w:styleId="21" w:customStyle="1">
    <w:name w:val="Подпись к таблице (2)_"/>
    <w:link w:val="21"/>
    <w:qFormat/>
    <w:rsid w:val="00d25ff1"/>
    <w:rPr>
      <w:i/>
      <w:iCs/>
      <w:sz w:val="19"/>
      <w:szCs w:val="19"/>
      <w:lang w:bidi="ar-SA"/>
    </w:rPr>
  </w:style>
  <w:style w:type="character" w:styleId="210pt" w:customStyle="1">
    <w:name w:val="Подпись к таблице (2) + 10 pt"/>
    <w:qFormat/>
    <w:rsid w:val="00d25ff1"/>
    <w:rPr>
      <w:b/>
      <w:bCs/>
      <w:i/>
      <w:iCs/>
      <w:sz w:val="20"/>
      <w:szCs w:val="20"/>
      <w:lang w:bidi="ar-SA"/>
    </w:rPr>
  </w:style>
  <w:style w:type="character" w:styleId="Pagenumber">
    <w:name w:val="page number"/>
    <w:basedOn w:val="DefaultParagraphFont"/>
    <w:qFormat/>
    <w:rsid w:val="00a10d45"/>
    <w:rPr/>
  </w:style>
  <w:style w:type="character" w:styleId="Strong">
    <w:name w:val="Strong"/>
    <w:uiPriority w:val="99"/>
    <w:qFormat/>
    <w:rsid w:val="002b49a9"/>
    <w:rPr>
      <w:b/>
      <w:bCs/>
    </w:rPr>
  </w:style>
  <w:style w:type="character" w:styleId="Style15">
    <w:name w:val="Выделение"/>
    <w:uiPriority w:val="20"/>
    <w:qFormat/>
    <w:rsid w:val="002b49a9"/>
    <w:rPr>
      <w:i/>
      <w:iCs/>
    </w:rPr>
  </w:style>
  <w:style w:type="character" w:styleId="Appleconvertedspace" w:customStyle="1">
    <w:name w:val="apple-converted-space"/>
    <w:basedOn w:val="DefaultParagraphFont"/>
    <w:qFormat/>
    <w:rsid w:val="002b49a9"/>
    <w:rPr/>
  </w:style>
  <w:style w:type="character" w:styleId="Style16" w:customStyle="1">
    <w:name w:val="Текст выноски Знак"/>
    <w:link w:val="af4"/>
    <w:qFormat/>
    <w:rsid w:val="009832ef"/>
    <w:rPr>
      <w:rFonts w:ascii="Tahoma" w:hAnsi="Tahoma" w:cs="Tahoma"/>
      <w:sz w:val="16"/>
      <w:szCs w:val="16"/>
    </w:rPr>
  </w:style>
  <w:style w:type="character" w:styleId="11" w:customStyle="1">
    <w:name w:val="Заголовок №1_"/>
    <w:link w:val="14"/>
    <w:qFormat/>
    <w:rsid w:val="00a8315a"/>
    <w:rPr>
      <w:sz w:val="23"/>
      <w:szCs w:val="23"/>
      <w:shd w:fill="FFFFFF" w:val="clear"/>
    </w:rPr>
  </w:style>
  <w:style w:type="character" w:styleId="34" w:customStyle="1">
    <w:name w:val="Основной текст (3)_"/>
    <w:link w:val="37"/>
    <w:qFormat/>
    <w:rsid w:val="00a8315a"/>
    <w:rPr>
      <w:rFonts w:ascii="Arial Narrow" w:hAnsi="Arial Narrow"/>
      <w:sz w:val="19"/>
      <w:szCs w:val="19"/>
      <w:shd w:fill="FFFFFF" w:val="clear"/>
    </w:rPr>
  </w:style>
  <w:style w:type="character" w:styleId="43" w:customStyle="1">
    <w:name w:val="Основной текст (4)_"/>
    <w:link w:val="43"/>
    <w:qFormat/>
    <w:rsid w:val="00a8315a"/>
    <w:rPr>
      <w:rFonts w:ascii="Arial Narrow" w:hAnsi="Arial Narrow"/>
      <w:shd w:fill="FFFFFF" w:val="clear"/>
    </w:rPr>
  </w:style>
  <w:style w:type="character" w:styleId="22" w:customStyle="1">
    <w:name w:val="Заголовок №2_"/>
    <w:link w:val="24"/>
    <w:qFormat/>
    <w:rsid w:val="00a8315a"/>
    <w:rPr>
      <w:sz w:val="22"/>
      <w:szCs w:val="22"/>
      <w:shd w:fill="FFFFFF" w:val="clear"/>
    </w:rPr>
  </w:style>
  <w:style w:type="character" w:styleId="2ArialNarrow" w:customStyle="1">
    <w:name w:val="Заголовок №2 + Arial Narrow"/>
    <w:qFormat/>
    <w:rsid w:val="00a8315a"/>
    <w:rPr>
      <w:rFonts w:ascii="Arial Narrow" w:hAnsi="Arial Narrow" w:cs="Arial Narrow"/>
      <w:sz w:val="20"/>
      <w:szCs w:val="20"/>
      <w:shd w:fill="FFFFFF" w:val="clear"/>
    </w:rPr>
  </w:style>
  <w:style w:type="character" w:styleId="210pt1" w:customStyle="1">
    <w:name w:val="Заголовок №2 + 10 pt"/>
    <w:qFormat/>
    <w:rsid w:val="00a8315a"/>
    <w:rPr>
      <w:sz w:val="20"/>
      <w:szCs w:val="20"/>
      <w:shd w:fill="FFFFFF" w:val="clear"/>
    </w:rPr>
  </w:style>
  <w:style w:type="character" w:styleId="210pt11" w:customStyle="1">
    <w:name w:val="Заголовок №2 + 10 pt1"/>
    <w:qFormat/>
    <w:rsid w:val="00a8315a"/>
    <w:rPr>
      <w:sz w:val="20"/>
      <w:szCs w:val="20"/>
      <w:shd w:fill="FFFFFF" w:val="clear"/>
    </w:rPr>
  </w:style>
  <w:style w:type="character" w:styleId="914pt" w:customStyle="1">
    <w:name w:val="Основной текст (9) + 14 pt"/>
    <w:qFormat/>
    <w:rsid w:val="00a8315a"/>
    <w:rPr>
      <w:rFonts w:ascii="Times New Roman" w:hAnsi="Times New Roman" w:cs="Times New Roman"/>
      <w:spacing w:val="0"/>
      <w:sz w:val="28"/>
      <w:szCs w:val="28"/>
      <w:lang w:bidi="ar-SA"/>
    </w:rPr>
  </w:style>
  <w:style w:type="character" w:styleId="93" w:customStyle="1">
    <w:name w:val="Основной текст (9) + Полужирный"/>
    <w:qFormat/>
    <w:rsid w:val="00a8315a"/>
    <w:rPr>
      <w:rFonts w:ascii="Times New Roman" w:hAnsi="Times New Roman" w:cs="Times New Roman"/>
      <w:b/>
      <w:bCs/>
      <w:i/>
      <w:iCs/>
      <w:spacing w:val="0"/>
      <w:sz w:val="22"/>
      <w:szCs w:val="22"/>
      <w:lang w:bidi="ar-SA"/>
    </w:rPr>
  </w:style>
  <w:style w:type="character" w:styleId="911" w:customStyle="1">
    <w:name w:val="Основной текст (9) + Полужирный1"/>
    <w:qFormat/>
    <w:rsid w:val="00a8315a"/>
    <w:rPr>
      <w:rFonts w:ascii="Times New Roman" w:hAnsi="Times New Roman" w:cs="Times New Roman"/>
      <w:b/>
      <w:bCs/>
      <w:spacing w:val="0"/>
      <w:sz w:val="22"/>
      <w:szCs w:val="22"/>
      <w:lang w:bidi="ar-SA"/>
    </w:rPr>
  </w:style>
  <w:style w:type="character" w:styleId="221" w:customStyle="1">
    <w:name w:val="Заголовок №2 (2)_"/>
    <w:link w:val="221"/>
    <w:qFormat/>
    <w:rsid w:val="00a8315a"/>
    <w:rPr>
      <w:rFonts w:ascii="Arial Narrow" w:hAnsi="Arial Narrow"/>
      <w:shd w:fill="FFFFFF" w:val="clear"/>
    </w:rPr>
  </w:style>
  <w:style w:type="character" w:styleId="22TimesNewRoman" w:customStyle="1">
    <w:name w:val="Заголовок №2 (2) + Times New Roman"/>
    <w:qFormat/>
    <w:rsid w:val="00a8315a"/>
    <w:rPr>
      <w:rFonts w:ascii="Times New Roman" w:hAnsi="Times New Roman" w:cs="Times New Roman"/>
      <w:i/>
      <w:iCs/>
      <w:sz w:val="22"/>
      <w:szCs w:val="22"/>
      <w:shd w:fill="FFFFFF" w:val="clear"/>
    </w:rPr>
  </w:style>
  <w:style w:type="character" w:styleId="Style17" w:customStyle="1">
    <w:name w:val="Название Знак"/>
    <w:link w:val="af6"/>
    <w:uiPriority w:val="10"/>
    <w:qFormat/>
    <w:rsid w:val="00dc77d9"/>
    <w:rPr>
      <w:b/>
      <w:bCs/>
      <w:sz w:val="28"/>
      <w:szCs w:val="28"/>
    </w:rPr>
  </w:style>
  <w:style w:type="character" w:styleId="Style18" w:customStyle="1">
    <w:name w:val="Название объекта Знак"/>
    <w:link w:val="af9"/>
    <w:qFormat/>
    <w:rsid w:val="007f0245"/>
    <w:rPr>
      <w:b/>
      <w:bCs/>
    </w:rPr>
  </w:style>
  <w:style w:type="character" w:styleId="12" w:customStyle="1">
    <w:name w:val="Текст сноски Знак1"/>
    <w:link w:val="afb"/>
    <w:qFormat/>
    <w:rsid w:val="007f0245"/>
    <w:rPr/>
  </w:style>
  <w:style w:type="character" w:styleId="Style19" w:customStyle="1">
    <w:name w:val="Текст сноски Знак"/>
    <w:basedOn w:val="DefaultParagraphFont"/>
    <w:qFormat/>
    <w:rsid w:val="007f0245"/>
    <w:rPr/>
  </w:style>
  <w:style w:type="character" w:styleId="Style20">
    <w:name w:val="Привязка сноски"/>
    <w:rPr>
      <w:vertAlign w:val="superscript"/>
    </w:rPr>
  </w:style>
  <w:style w:type="character" w:styleId="FootnoteCharacters">
    <w:name w:val="Footnote Characters"/>
    <w:qFormat/>
    <w:rsid w:val="007f0245"/>
    <w:rPr>
      <w:vertAlign w:val="superscript"/>
    </w:rPr>
  </w:style>
  <w:style w:type="character" w:styleId="Applestylespan" w:customStyle="1">
    <w:name w:val="apple-style-span"/>
    <w:basedOn w:val="DefaultParagraphFont"/>
    <w:qFormat/>
    <w:rsid w:val="007f0245"/>
    <w:rPr/>
  </w:style>
  <w:style w:type="character" w:styleId="312pt" w:customStyle="1">
    <w:name w:val="Основной текст (3) + 12 pt"/>
    <w:qFormat/>
    <w:rsid w:val="00b56d43"/>
    <w:rPr>
      <w:b/>
      <w:bCs/>
      <w:sz w:val="24"/>
      <w:szCs w:val="24"/>
      <w:lang w:bidi="ar-SA"/>
    </w:rPr>
  </w:style>
  <w:style w:type="character" w:styleId="121" w:customStyle="1">
    <w:name w:val="Заголовок №1 (2)_"/>
    <w:link w:val="121"/>
    <w:qFormat/>
    <w:rsid w:val="00b56d43"/>
    <w:rPr>
      <w:sz w:val="28"/>
      <w:szCs w:val="28"/>
      <w:shd w:fill="FFFFFF" w:val="clear"/>
    </w:rPr>
  </w:style>
  <w:style w:type="character" w:styleId="122" w:customStyle="1">
    <w:name w:val="Заголовок №1 (2)"/>
    <w:qFormat/>
    <w:rsid w:val="00b56d43"/>
    <w:rPr/>
  </w:style>
  <w:style w:type="character" w:styleId="95" w:customStyle="1">
    <w:name w:val="Подпись к таблице + 9"/>
    <w:qFormat/>
    <w:rsid w:val="00b56d43"/>
    <w:rPr>
      <w:b/>
      <w:bCs/>
      <w:sz w:val="19"/>
      <w:szCs w:val="19"/>
      <w:lang w:bidi="ar-SA"/>
    </w:rPr>
  </w:style>
  <w:style w:type="character" w:styleId="5" w:customStyle="1">
    <w:name w:val="Основной текст (5)_"/>
    <w:link w:val="50"/>
    <w:qFormat/>
    <w:rsid w:val="00b56d43"/>
    <w:rPr>
      <w:sz w:val="19"/>
      <w:szCs w:val="19"/>
      <w:shd w:fill="FFFFFF" w:val="clear"/>
    </w:rPr>
  </w:style>
  <w:style w:type="character" w:styleId="23" w:customStyle="1">
    <w:name w:val="Основной текст (2)_"/>
    <w:link w:val="211"/>
    <w:qFormat/>
    <w:rsid w:val="00b56d43"/>
    <w:rPr>
      <w:shd w:fill="FFFFFF" w:val="clear"/>
    </w:rPr>
  </w:style>
  <w:style w:type="character" w:styleId="321" w:customStyle="1">
    <w:name w:val="Основной текст (3)2"/>
    <w:qFormat/>
    <w:rsid w:val="00b56d43"/>
    <w:rPr>
      <w:rFonts w:ascii="Times New Roman" w:hAnsi="Times New Roman" w:cs="Times New Roman"/>
      <w:b w:val="false"/>
      <w:bCs w:val="false"/>
      <w:spacing w:val="0"/>
      <w:sz w:val="19"/>
      <w:szCs w:val="19"/>
      <w:lang w:bidi="ar-SA"/>
    </w:rPr>
  </w:style>
  <w:style w:type="character" w:styleId="35" w:customStyle="1">
    <w:name w:val="Подпись к таблице (3)_"/>
    <w:link w:val="311"/>
    <w:qFormat/>
    <w:rsid w:val="00b56d43"/>
    <w:rPr>
      <w:sz w:val="19"/>
      <w:szCs w:val="19"/>
      <w:shd w:fill="FFFFFF" w:val="clear"/>
    </w:rPr>
  </w:style>
  <w:style w:type="character" w:styleId="36" w:customStyle="1">
    <w:name w:val="Подпись к таблице (3)"/>
    <w:qFormat/>
    <w:rsid w:val="00b56d43"/>
    <w:rPr/>
  </w:style>
  <w:style w:type="character" w:styleId="24" w:customStyle="1">
    <w:name w:val="Основной текст (2)"/>
    <w:qFormat/>
    <w:rsid w:val="00b56d43"/>
    <w:rPr/>
  </w:style>
  <w:style w:type="character" w:styleId="13" w:customStyle="1">
    <w:name w:val="Название Знак1"/>
    <w:uiPriority w:val="99"/>
    <w:qFormat/>
    <w:locked/>
    <w:rsid w:val="00f85682"/>
    <w:rPr>
      <w:rFonts w:cs="Times New Roman"/>
      <w:b/>
      <w:bCs/>
      <w:sz w:val="28"/>
      <w:szCs w:val="28"/>
    </w:rPr>
  </w:style>
  <w:style w:type="character" w:styleId="37" w:customStyle="1">
    <w:name w:val="Основной текст 3 Знак"/>
    <w:link w:val="3a"/>
    <w:qFormat/>
    <w:rsid w:val="00391129"/>
    <w:rPr>
      <w:sz w:val="16"/>
      <w:szCs w:val="16"/>
      <w:lang w:val="x-none" w:eastAsia="x-none"/>
    </w:rPr>
  </w:style>
  <w:style w:type="character" w:styleId="FollowedHyperlink">
    <w:name w:val="FollowedHyperlink"/>
    <w:uiPriority w:val="99"/>
    <w:unhideWhenUsed/>
    <w:qFormat/>
    <w:rsid w:val="00e57cde"/>
    <w:rPr>
      <w:color w:val="800080"/>
      <w:u w:val="single"/>
    </w:rPr>
  </w:style>
  <w:style w:type="character" w:styleId="Style21" w:customStyle="1">
    <w:name w:val="Основной текст_"/>
    <w:link w:val="51"/>
    <w:qFormat/>
    <w:rsid w:val="00d1470f"/>
    <w:rPr>
      <w:rFonts w:ascii="Arial Unicode MS" w:hAnsi="Arial Unicode MS" w:eastAsia="Arial Unicode MS" w:cs="Arial Unicode MS"/>
      <w:shd w:fill="FFFFFF" w:val="clear"/>
    </w:rPr>
  </w:style>
  <w:style w:type="character" w:styleId="25" w:customStyle="1">
    <w:name w:val="Основной текст2"/>
    <w:qFormat/>
    <w:rsid w:val="00d1470f"/>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4"/>
      <w:szCs w:val="24"/>
      <w:u w:val="none"/>
      <w:lang w:val="ru-RU" w:eastAsia="ru-RU" w:bidi="ru-RU"/>
    </w:rPr>
  </w:style>
  <w:style w:type="character" w:styleId="14" w:customStyle="1">
    <w:name w:val="Неразрешенное упоминание1"/>
    <w:uiPriority w:val="99"/>
    <w:semiHidden/>
    <w:unhideWhenUsed/>
    <w:qFormat/>
    <w:rsid w:val="00af6be0"/>
    <w:rPr>
      <w:color w:val="808080"/>
      <w:shd w:fill="E6E6E6" w:val="clear"/>
    </w:rPr>
  </w:style>
  <w:style w:type="character" w:styleId="26" w:customStyle="1">
    <w:name w:val="Основной текст с отступом 2 Знак"/>
    <w:link w:val="2a"/>
    <w:qFormat/>
    <w:rsid w:val="00af6be0"/>
    <w:rPr>
      <w:sz w:val="24"/>
      <w:szCs w:val="24"/>
    </w:rPr>
  </w:style>
  <w:style w:type="character" w:styleId="Style22" w:customStyle="1">
    <w:name w:val="Абзац списка Знак"/>
    <w:link w:val="aff3"/>
    <w:uiPriority w:val="34"/>
    <w:qFormat/>
    <w:locked/>
    <w:rsid w:val="001952ba"/>
    <w:rPr>
      <w:lang w:val="en-US" w:eastAsia="en-US"/>
    </w:rPr>
  </w:style>
  <w:style w:type="character" w:styleId="Style23" w:customStyle="1">
    <w:name w:val="Текст примечания Знак"/>
    <w:basedOn w:val="DefaultParagraphFont"/>
    <w:link w:val="aff5"/>
    <w:uiPriority w:val="99"/>
    <w:qFormat/>
    <w:rsid w:val="00326c27"/>
    <w:rPr/>
  </w:style>
  <w:style w:type="character" w:styleId="Style24" w:customStyle="1">
    <w:name w:val="Другое_"/>
    <w:basedOn w:val="DefaultParagraphFont"/>
    <w:link w:val="aff8"/>
    <w:qFormat/>
    <w:locked/>
    <w:rsid w:val="00da0c0f"/>
    <w:rPr>
      <w:sz w:val="19"/>
      <w:szCs w:val="19"/>
      <w:shd w:fill="FFFFFF" w:val="clear"/>
    </w:rPr>
  </w:style>
  <w:style w:type="character" w:styleId="Style25" w:customStyle="1">
    <w:name w:val="Подпись к картинке_"/>
    <w:basedOn w:val="DefaultParagraphFont"/>
    <w:link w:val="affa"/>
    <w:qFormat/>
    <w:locked/>
    <w:rsid w:val="00da0c0f"/>
    <w:rPr>
      <w:sz w:val="13"/>
      <w:szCs w:val="13"/>
      <w:shd w:fill="FFFFFF" w:val="clear"/>
    </w:rPr>
  </w:style>
  <w:style w:type="character" w:styleId="27" w:customStyle="1">
    <w:name w:val="Неразрешенное упоминание2"/>
    <w:basedOn w:val="DefaultParagraphFont"/>
    <w:uiPriority w:val="99"/>
    <w:semiHidden/>
    <w:unhideWhenUsed/>
    <w:qFormat/>
    <w:rsid w:val="00053e11"/>
    <w:rPr>
      <w:color w:val="605E5C"/>
      <w:shd w:fill="E1DFDD" w:val="clear"/>
    </w:rPr>
  </w:style>
  <w:style w:type="character" w:styleId="Bmessageheadlinequeryi" w:customStyle="1">
    <w:name w:val="b-message-headline__query__i"/>
    <w:basedOn w:val="DefaultParagraphFont"/>
    <w:qFormat/>
    <w:rsid w:val="001952ba"/>
    <w:rPr/>
  </w:style>
  <w:style w:type="character" w:styleId="ListLabel1">
    <w:name w:val="ListLabel 1"/>
    <w:qFormat/>
    <w:rPr>
      <w:rFonts w:cs="Times New Roman"/>
      <w:b/>
      <w:i/>
      <w:caps w:val="false"/>
      <w:smallCaps w:val="false"/>
      <w:strike w:val="false"/>
      <w:dstrike w:val="false"/>
      <w:vanish w:val="false"/>
      <w:color w:val="auto"/>
      <w:position w:val="0"/>
      <w:sz w:val="24"/>
      <w:sz w:val="24"/>
      <w:u w:val="none"/>
      <w:vertAlign w:val="baseline"/>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b/>
      <w:sz w:val="24"/>
    </w:rPr>
  </w:style>
  <w:style w:type="character" w:styleId="ListLabel11">
    <w:name w:val="ListLabel 11"/>
    <w:qFormat/>
    <w:rPr>
      <w:rFonts w:eastAsia="Times New Roman" w:cs="Times New Roman"/>
      <w:b w:val="false"/>
      <w:bCs w:val="false"/>
      <w:i w:val="false"/>
      <w:iCs w:val="false"/>
      <w:caps w:val="false"/>
      <w:smallCaps w:val="false"/>
      <w:strike w:val="false"/>
      <w:dstrike w:val="false"/>
      <w:color w:val="000000"/>
      <w:spacing w:val="0"/>
      <w:w w:val="100"/>
      <w:sz w:val="24"/>
      <w:szCs w:val="19"/>
      <w:u w:val="none"/>
      <w:effect w:val="none"/>
      <w:lang w:val="ru-RU" w:eastAsia="ru-RU" w:bidi="ru-RU"/>
    </w:rPr>
  </w:style>
  <w:style w:type="character" w:styleId="ListLabel12">
    <w:name w:val="ListLabel 12"/>
    <w:qFormat/>
    <w:rPr>
      <w:lang w:val="en-US"/>
    </w:rPr>
  </w:style>
  <w:style w:type="character" w:styleId="ListLabel13">
    <w:name w:val="ListLabel 13"/>
    <w:qFormat/>
    <w:rPr/>
  </w:style>
  <w:style w:type="character" w:styleId="ListLabel14">
    <w:name w:val="ListLabel 14"/>
    <w:qFormat/>
    <w:rPr>
      <w:color w:val="0000FF"/>
      <w:sz w:val="16"/>
      <w:szCs w:val="16"/>
      <w:u w:val="single"/>
    </w:rPr>
  </w:style>
  <w:style w:type="character" w:styleId="ListLabel15">
    <w:name w:val="ListLabel 15"/>
    <w:qFormat/>
    <w:rPr>
      <w:color w:val="0000FF"/>
      <w:sz w:val="16"/>
      <w:szCs w:val="16"/>
    </w:rPr>
  </w:style>
  <w:style w:type="paragraph" w:styleId="Style26">
    <w:name w:val="Заголовок"/>
    <w:basedOn w:val="Normal"/>
    <w:next w:val="Style27"/>
    <w:qFormat/>
    <w:pPr>
      <w:keepNext w:val="true"/>
      <w:spacing w:before="240" w:after="120"/>
    </w:pPr>
    <w:rPr>
      <w:rFonts w:ascii="Liberation Sans" w:hAnsi="Liberation Sans" w:eastAsia="Droid Sans Fallback" w:cs="FreeSans"/>
      <w:sz w:val="28"/>
      <w:szCs w:val="28"/>
    </w:rPr>
  </w:style>
  <w:style w:type="paragraph" w:styleId="Style27">
    <w:name w:val="Body Text"/>
    <w:basedOn w:val="Normal"/>
    <w:link w:val="a9"/>
    <w:rsid w:val="00aa2dfa"/>
    <w:pPr>
      <w:overflowPunct w:val="true"/>
      <w:spacing w:before="0" w:after="120"/>
      <w:textAlignment w:val="baseline"/>
    </w:pPr>
    <w:rPr>
      <w:sz w:val="20"/>
      <w:szCs w:val="20"/>
    </w:rPr>
  </w:style>
  <w:style w:type="paragraph" w:styleId="Style28">
    <w:name w:val="List"/>
    <w:basedOn w:val="Style27"/>
    <w:pPr/>
    <w:rPr>
      <w:rFonts w:cs="FreeSans"/>
    </w:rPr>
  </w:style>
  <w:style w:type="paragraph" w:styleId="Style29" w:customStyle="1">
    <w:name w:val="Caption"/>
    <w:basedOn w:val="Normal"/>
    <w:link w:val="af7"/>
    <w:uiPriority w:val="10"/>
    <w:qFormat/>
    <w:rsid w:val="00dc77d9"/>
    <w:pPr>
      <w:jc w:val="center"/>
    </w:pPr>
    <w:rPr>
      <w:b/>
      <w:bCs/>
      <w:sz w:val="28"/>
      <w:szCs w:val="28"/>
      <w:lang w:val="x-none" w:eastAsia="x-none"/>
    </w:rPr>
  </w:style>
  <w:style w:type="paragraph" w:styleId="Style30">
    <w:name w:val="Указатель"/>
    <w:basedOn w:val="Normal"/>
    <w:qFormat/>
    <w:pPr>
      <w:suppressLineNumbers/>
    </w:pPr>
    <w:rPr>
      <w:rFonts w:cs="FreeSans"/>
    </w:rPr>
  </w:style>
  <w:style w:type="paragraph" w:styleId="Style31">
    <w:name w:val="Header"/>
    <w:basedOn w:val="Normal"/>
    <w:link w:val="a5"/>
    <w:uiPriority w:val="99"/>
    <w:rsid w:val="008e420a"/>
    <w:pPr>
      <w:tabs>
        <w:tab w:val="clear" w:pos="708"/>
        <w:tab w:val="center" w:pos="4677" w:leader="none"/>
        <w:tab w:val="right" w:pos="9355" w:leader="none"/>
      </w:tabs>
    </w:pPr>
    <w:rPr>
      <w:lang w:val="x-none" w:eastAsia="x-none"/>
    </w:rPr>
  </w:style>
  <w:style w:type="paragraph" w:styleId="Style32">
    <w:name w:val="Footer"/>
    <w:basedOn w:val="Normal"/>
    <w:link w:val="a7"/>
    <w:uiPriority w:val="99"/>
    <w:rsid w:val="008e420a"/>
    <w:pPr>
      <w:tabs>
        <w:tab w:val="clear" w:pos="708"/>
        <w:tab w:val="center" w:pos="4677" w:leader="none"/>
        <w:tab w:val="right" w:pos="9355" w:leader="none"/>
      </w:tabs>
    </w:pPr>
    <w:rPr>
      <w:lang w:val="x-none" w:eastAsia="x-none"/>
    </w:rPr>
  </w:style>
  <w:style w:type="paragraph" w:styleId="Style33">
    <w:name w:val="Body Text Indent"/>
    <w:basedOn w:val="Normal"/>
    <w:link w:val="32"/>
    <w:rsid w:val="00aa2dfa"/>
    <w:pPr/>
    <w:rPr>
      <w:lang w:val="x-none" w:eastAsia="x-none"/>
    </w:rPr>
  </w:style>
  <w:style w:type="paragraph" w:styleId="BodyTextIndent3">
    <w:name w:val="Body Text Indent 3"/>
    <w:basedOn w:val="Normal"/>
    <w:qFormat/>
    <w:rsid w:val="00aa2dfa"/>
    <w:pPr>
      <w:overflowPunct w:val="true"/>
      <w:ind w:firstLine="426"/>
      <w:jc w:val="both"/>
      <w:textAlignment w:val="baseline"/>
    </w:pPr>
    <w:rPr/>
  </w:style>
  <w:style w:type="paragraph" w:styleId="71" w:customStyle="1">
    <w:name w:val="Основной текст (7)1"/>
    <w:basedOn w:val="Normal"/>
    <w:link w:val="7"/>
    <w:qFormat/>
    <w:rsid w:val="0074401f"/>
    <w:pPr>
      <w:shd w:val="clear" w:color="auto" w:fill="FFFFFF"/>
      <w:spacing w:lineRule="atLeast" w:line="240" w:before="0" w:after="300"/>
      <w:ind w:hanging="340"/>
      <w:jc w:val="both"/>
    </w:pPr>
    <w:rPr>
      <w:b/>
      <w:bCs/>
      <w:smallCaps/>
      <w:sz w:val="26"/>
      <w:szCs w:val="26"/>
      <w:lang w:val="x-none" w:eastAsia="x-none"/>
    </w:rPr>
  </w:style>
  <w:style w:type="paragraph" w:styleId="912" w:customStyle="1">
    <w:name w:val="Заголовок №91"/>
    <w:basedOn w:val="Normal"/>
    <w:link w:val="9"/>
    <w:qFormat/>
    <w:rsid w:val="00da3d07"/>
    <w:pPr>
      <w:shd w:val="clear" w:color="auto" w:fill="FFFFFF"/>
      <w:spacing w:lineRule="atLeast" w:line="240" w:before="360" w:after="0"/>
      <w:ind w:hanging="360"/>
      <w:outlineLvl w:val="8"/>
    </w:pPr>
    <w:rPr>
      <w:b/>
      <w:bCs/>
      <w:smallCaps/>
      <w:sz w:val="26"/>
      <w:szCs w:val="26"/>
      <w:lang w:val="x-none" w:eastAsia="x-none"/>
    </w:rPr>
  </w:style>
  <w:style w:type="paragraph" w:styleId="1011" w:customStyle="1">
    <w:name w:val="Заголовок №101"/>
    <w:basedOn w:val="Normal"/>
    <w:link w:val="10"/>
    <w:qFormat/>
    <w:rsid w:val="005640cf"/>
    <w:pPr>
      <w:shd w:val="clear" w:color="auto" w:fill="FFFFFF"/>
      <w:spacing w:lineRule="exact" w:line="586"/>
    </w:pPr>
    <w:rPr>
      <w:b/>
      <w:bCs/>
      <w:sz w:val="20"/>
      <w:szCs w:val="20"/>
      <w:lang w:val="x-none" w:eastAsia="x-none"/>
    </w:rPr>
  </w:style>
  <w:style w:type="paragraph" w:styleId="61" w:customStyle="1">
    <w:name w:val="Основной текст (6)"/>
    <w:basedOn w:val="Normal"/>
    <w:link w:val="6"/>
    <w:qFormat/>
    <w:rsid w:val="005640cf"/>
    <w:pPr>
      <w:shd w:val="clear" w:color="auto" w:fill="FFFFFF"/>
      <w:spacing w:lineRule="exact" w:line="355" w:before="60" w:after="0"/>
      <w:ind w:hanging="1380"/>
      <w:jc w:val="center"/>
    </w:pPr>
    <w:rPr>
      <w:b/>
      <w:bCs/>
      <w:sz w:val="23"/>
      <w:szCs w:val="23"/>
      <w:lang w:val="x-none" w:eastAsia="x-none"/>
    </w:rPr>
  </w:style>
  <w:style w:type="paragraph" w:styleId="811" w:customStyle="1">
    <w:name w:val="Основной текст (8)1"/>
    <w:basedOn w:val="Normal"/>
    <w:link w:val="81"/>
    <w:qFormat/>
    <w:rsid w:val="005640cf"/>
    <w:pPr>
      <w:shd w:val="clear" w:color="auto" w:fill="FFFFFF"/>
      <w:spacing w:lineRule="atLeast" w:line="240" w:before="120" w:after="120"/>
      <w:ind w:hanging="560"/>
      <w:jc w:val="both"/>
    </w:pPr>
    <w:rPr>
      <w:i/>
      <w:iCs/>
      <w:sz w:val="20"/>
      <w:szCs w:val="20"/>
      <w:lang w:val="x-none" w:eastAsia="x-none"/>
    </w:rPr>
  </w:style>
  <w:style w:type="paragraph" w:styleId="921" w:customStyle="1">
    <w:name w:val="Заголовок №9 (2)1"/>
    <w:basedOn w:val="Normal"/>
    <w:link w:val="92"/>
    <w:qFormat/>
    <w:rsid w:val="00d25ff1"/>
    <w:pPr>
      <w:shd w:val="clear" w:color="auto" w:fill="FFFFFF"/>
      <w:spacing w:lineRule="atLeast" w:line="240" w:before="0" w:after="360"/>
      <w:outlineLvl w:val="8"/>
    </w:pPr>
    <w:rPr>
      <w:b/>
      <w:bCs/>
      <w:sz w:val="26"/>
      <w:szCs w:val="26"/>
      <w:lang w:val="x-none" w:eastAsia="x-none"/>
    </w:rPr>
  </w:style>
  <w:style w:type="paragraph" w:styleId="15" w:customStyle="1">
    <w:name w:val="Подпись к таблице1"/>
    <w:basedOn w:val="Normal"/>
    <w:link w:val="ae"/>
    <w:qFormat/>
    <w:rsid w:val="00d25ff1"/>
    <w:pPr>
      <w:shd w:val="clear" w:color="auto" w:fill="FFFFFF"/>
      <w:spacing w:lineRule="atLeast" w:line="240"/>
    </w:pPr>
    <w:rPr>
      <w:i/>
      <w:iCs/>
      <w:sz w:val="20"/>
      <w:szCs w:val="20"/>
      <w:lang w:val="x-none" w:eastAsia="x-none"/>
    </w:rPr>
  </w:style>
  <w:style w:type="paragraph" w:styleId="1013" w:customStyle="1">
    <w:name w:val="Основной текст (10)1"/>
    <w:basedOn w:val="Normal"/>
    <w:link w:val="100"/>
    <w:qFormat/>
    <w:rsid w:val="00d25ff1"/>
    <w:pPr>
      <w:shd w:val="clear" w:color="auto" w:fill="FFFFFF"/>
      <w:spacing w:lineRule="atLeast" w:line="240"/>
      <w:ind w:hanging="560"/>
    </w:pPr>
    <w:rPr>
      <w:b/>
      <w:bCs/>
      <w:sz w:val="19"/>
      <w:szCs w:val="19"/>
      <w:lang w:val="x-none" w:eastAsia="x-none"/>
    </w:rPr>
  </w:style>
  <w:style w:type="paragraph" w:styleId="913" w:customStyle="1">
    <w:name w:val="Основной текст (9)1"/>
    <w:basedOn w:val="Normal"/>
    <w:link w:val="90"/>
    <w:qFormat/>
    <w:rsid w:val="00d25ff1"/>
    <w:pPr>
      <w:shd w:val="clear" w:color="auto" w:fill="FFFFFF"/>
      <w:spacing w:lineRule="atLeast" w:line="240"/>
    </w:pPr>
    <w:rPr>
      <w:sz w:val="19"/>
      <w:szCs w:val="19"/>
      <w:lang w:val="x-none" w:eastAsia="x-none"/>
    </w:rPr>
  </w:style>
  <w:style w:type="paragraph" w:styleId="28" w:customStyle="1">
    <w:name w:val="Подпись к таблице (2)"/>
    <w:basedOn w:val="Normal"/>
    <w:link w:val="20"/>
    <w:qFormat/>
    <w:rsid w:val="00d25ff1"/>
    <w:pPr>
      <w:shd w:val="clear" w:color="auto" w:fill="FFFFFF"/>
      <w:spacing w:lineRule="atLeast" w:line="240"/>
    </w:pPr>
    <w:rPr>
      <w:i/>
      <w:iCs/>
      <w:sz w:val="19"/>
      <w:szCs w:val="19"/>
      <w:lang w:val="x-none" w:eastAsia="x-none"/>
    </w:rPr>
  </w:style>
  <w:style w:type="paragraph" w:styleId="Style34" w:customStyle="1">
    <w:name w:val="Список с точками"/>
    <w:basedOn w:val="Normal"/>
    <w:next w:val="Normal"/>
    <w:qFormat/>
    <w:rsid w:val="003d0980"/>
    <w:pPr>
      <w:tabs>
        <w:tab w:val="clear" w:pos="708"/>
        <w:tab w:val="left" w:pos="720" w:leader="none"/>
      </w:tabs>
      <w:spacing w:lineRule="exact" w:line="260" w:before="60" w:after="60"/>
      <w:ind w:left="720" w:hanging="720"/>
      <w:jc w:val="both"/>
      <w:outlineLvl w:val="6"/>
    </w:pPr>
    <w:rPr>
      <w:rFonts w:ascii="Vanta Light" w:hAnsi="Vanta Light"/>
      <w:kern w:val="2"/>
      <w:sz w:val="16"/>
      <w:szCs w:val="16"/>
    </w:rPr>
  </w:style>
  <w:style w:type="paragraph" w:styleId="29">
    <w:name w:val="TOC 2"/>
    <w:basedOn w:val="Normal"/>
    <w:next w:val="Normal"/>
    <w:autoRedefine/>
    <w:uiPriority w:val="39"/>
    <w:rsid w:val="00716026"/>
    <w:pPr>
      <w:ind w:left="240" w:hanging="0"/>
    </w:pPr>
    <w:rPr/>
  </w:style>
  <w:style w:type="paragraph" w:styleId="16">
    <w:name w:val="TOC 1"/>
    <w:basedOn w:val="Normal"/>
    <w:next w:val="Normal"/>
    <w:autoRedefine/>
    <w:uiPriority w:val="39"/>
    <w:rsid w:val="00716026"/>
    <w:pPr/>
    <w:rPr/>
  </w:style>
  <w:style w:type="paragraph" w:styleId="38">
    <w:name w:val="TOC 3"/>
    <w:basedOn w:val="Normal"/>
    <w:next w:val="Normal"/>
    <w:autoRedefine/>
    <w:uiPriority w:val="39"/>
    <w:rsid w:val="00f848cf"/>
    <w:pPr>
      <w:tabs>
        <w:tab w:val="clear" w:pos="708"/>
        <w:tab w:val="right" w:pos="9912" w:leader="dot"/>
      </w:tabs>
      <w:jc w:val="both"/>
    </w:pPr>
    <w:rPr>
      <w:color w:val="000000"/>
    </w:rPr>
  </w:style>
  <w:style w:type="paragraph" w:styleId="Xl22" w:customStyle="1">
    <w:name w:val="xl22"/>
    <w:basedOn w:val="Normal"/>
    <w:qFormat/>
    <w:rsid w:val="00141032"/>
    <w:pPr>
      <w:spacing w:before="100" w:after="100"/>
      <w:jc w:val="center"/>
    </w:pPr>
    <w:rPr>
      <w:szCs w:val="20"/>
    </w:rPr>
  </w:style>
  <w:style w:type="paragraph" w:styleId="NormalWeb">
    <w:name w:val="Normal (Web)"/>
    <w:basedOn w:val="Normal"/>
    <w:uiPriority w:val="99"/>
    <w:qFormat/>
    <w:rsid w:val="00627808"/>
    <w:pPr/>
    <w:rPr/>
  </w:style>
  <w:style w:type="paragraph" w:styleId="BalloonText">
    <w:name w:val="Balloon Text"/>
    <w:basedOn w:val="Normal"/>
    <w:link w:val="af5"/>
    <w:qFormat/>
    <w:rsid w:val="009832ef"/>
    <w:pPr/>
    <w:rPr>
      <w:rFonts w:ascii="Tahoma" w:hAnsi="Tahoma"/>
      <w:sz w:val="16"/>
      <w:szCs w:val="16"/>
      <w:lang w:val="x-none" w:eastAsia="x-none"/>
    </w:rPr>
  </w:style>
  <w:style w:type="paragraph" w:styleId="17" w:customStyle="1">
    <w:name w:val="Заголовок №1"/>
    <w:basedOn w:val="Normal"/>
    <w:link w:val="13"/>
    <w:qFormat/>
    <w:rsid w:val="00a8315a"/>
    <w:pPr>
      <w:shd w:val="clear" w:color="auto" w:fill="FFFFFF"/>
      <w:spacing w:lineRule="exact" w:line="307" w:before="0" w:after="300"/>
      <w:jc w:val="center"/>
      <w:outlineLvl w:val="0"/>
    </w:pPr>
    <w:rPr>
      <w:b/>
      <w:bCs/>
      <w:sz w:val="23"/>
      <w:szCs w:val="23"/>
      <w:lang w:val="x-none" w:eastAsia="x-none"/>
    </w:rPr>
  </w:style>
  <w:style w:type="paragraph" w:styleId="39" w:customStyle="1">
    <w:name w:val="Основной текст (3)"/>
    <w:basedOn w:val="Normal"/>
    <w:link w:val="36"/>
    <w:qFormat/>
    <w:rsid w:val="00a8315a"/>
    <w:pPr>
      <w:shd w:val="clear" w:color="auto" w:fill="FFFFFF"/>
      <w:spacing w:lineRule="exact" w:line="250"/>
      <w:jc w:val="both"/>
    </w:pPr>
    <w:rPr>
      <w:rFonts w:ascii="Arial Narrow" w:hAnsi="Arial Narrow"/>
      <w:sz w:val="19"/>
      <w:szCs w:val="19"/>
      <w:lang w:val="x-none" w:eastAsia="x-none"/>
    </w:rPr>
  </w:style>
  <w:style w:type="paragraph" w:styleId="44" w:customStyle="1">
    <w:name w:val="Основной текст (4)"/>
    <w:basedOn w:val="Normal"/>
    <w:link w:val="42"/>
    <w:qFormat/>
    <w:rsid w:val="00a8315a"/>
    <w:pPr>
      <w:shd w:val="clear" w:color="auto" w:fill="FFFFFF"/>
      <w:spacing w:lineRule="atLeast" w:line="240"/>
    </w:pPr>
    <w:rPr>
      <w:rFonts w:ascii="Arial Narrow" w:hAnsi="Arial Narrow"/>
      <w:b/>
      <w:bCs/>
      <w:sz w:val="20"/>
      <w:szCs w:val="20"/>
      <w:lang w:val="x-none" w:eastAsia="x-none"/>
    </w:rPr>
  </w:style>
  <w:style w:type="paragraph" w:styleId="84" w:customStyle="1">
    <w:name w:val="Основной текст (8)"/>
    <w:basedOn w:val="Normal"/>
    <w:qFormat/>
    <w:rsid w:val="00a8315a"/>
    <w:pPr>
      <w:shd w:val="clear" w:color="auto" w:fill="FFFFFF"/>
      <w:spacing w:lineRule="exact" w:line="269" w:before="360" w:after="660"/>
      <w:jc w:val="center"/>
    </w:pPr>
    <w:rPr>
      <w:rFonts w:eastAsia="DejaVu Sans"/>
      <w:sz w:val="20"/>
      <w:szCs w:val="20"/>
    </w:rPr>
  </w:style>
  <w:style w:type="paragraph" w:styleId="210" w:customStyle="1">
    <w:name w:val="Заголовок №2"/>
    <w:basedOn w:val="Normal"/>
    <w:link w:val="23"/>
    <w:qFormat/>
    <w:rsid w:val="00a8315a"/>
    <w:pPr>
      <w:shd w:val="clear" w:color="auto" w:fill="FFFFFF"/>
      <w:spacing w:lineRule="atLeast" w:line="240" w:before="660" w:after="120"/>
      <w:jc w:val="center"/>
      <w:outlineLvl w:val="1"/>
    </w:pPr>
    <w:rPr>
      <w:b/>
      <w:bCs/>
      <w:sz w:val="22"/>
      <w:szCs w:val="22"/>
      <w:lang w:val="x-none" w:eastAsia="x-none"/>
    </w:rPr>
  </w:style>
  <w:style w:type="paragraph" w:styleId="97" w:customStyle="1">
    <w:name w:val="Основной текст (9)"/>
    <w:basedOn w:val="Normal"/>
    <w:qFormat/>
    <w:rsid w:val="00a8315a"/>
    <w:pPr>
      <w:shd w:val="clear" w:color="auto" w:fill="FFFFFF"/>
      <w:spacing w:lineRule="exact" w:line="706" w:before="120" w:after="0"/>
      <w:jc w:val="right"/>
    </w:pPr>
    <w:rPr>
      <w:rFonts w:eastAsia="DejaVu Sans"/>
      <w:sz w:val="22"/>
      <w:szCs w:val="22"/>
    </w:rPr>
  </w:style>
  <w:style w:type="paragraph" w:styleId="222" w:customStyle="1">
    <w:name w:val="Заголовок №2 (2)"/>
    <w:basedOn w:val="Normal"/>
    <w:link w:val="220"/>
    <w:qFormat/>
    <w:rsid w:val="00a8315a"/>
    <w:pPr>
      <w:shd w:val="clear" w:color="auto" w:fill="FFFFFF"/>
      <w:spacing w:lineRule="exact" w:line="566" w:before="420" w:after="60"/>
      <w:jc w:val="right"/>
      <w:outlineLvl w:val="1"/>
    </w:pPr>
    <w:rPr>
      <w:rFonts w:ascii="Arial Narrow" w:hAnsi="Arial Narrow"/>
      <w:b/>
      <w:bCs/>
      <w:sz w:val="20"/>
      <w:szCs w:val="20"/>
      <w:lang w:val="x-none" w:eastAsia="x-none"/>
    </w:rPr>
  </w:style>
  <w:style w:type="paragraph" w:styleId="Style35" w:customStyle="1">
    <w:name w:val="Стиль Интелис"/>
    <w:basedOn w:val="Normal"/>
    <w:qFormat/>
    <w:rsid w:val="007f0245"/>
    <w:pPr>
      <w:spacing w:before="120" w:after="120"/>
      <w:ind w:firstLine="567"/>
      <w:jc w:val="both"/>
    </w:pPr>
    <w:rPr>
      <w:rFonts w:ascii="Myriad Pro Cond" w:hAnsi="Myriad Pro Cond"/>
      <w:szCs w:val="20"/>
    </w:rPr>
  </w:style>
  <w:style w:type="paragraph" w:styleId="Caption">
    <w:name w:val="caption"/>
    <w:basedOn w:val="Normal"/>
    <w:next w:val="Normal"/>
    <w:link w:val="afa"/>
    <w:qFormat/>
    <w:rsid w:val="007f0245"/>
    <w:pPr/>
    <w:rPr>
      <w:b/>
      <w:bCs/>
      <w:sz w:val="20"/>
      <w:szCs w:val="20"/>
      <w:lang w:val="x-none" w:eastAsia="x-none"/>
    </w:rPr>
  </w:style>
  <w:style w:type="paragraph" w:styleId="Style36">
    <w:name w:val="Footnote Text"/>
    <w:basedOn w:val="Normal"/>
    <w:link w:val="15"/>
    <w:rsid w:val="007f0245"/>
    <w:pPr/>
    <w:rPr>
      <w:sz w:val="20"/>
      <w:szCs w:val="20"/>
    </w:rPr>
  </w:style>
  <w:style w:type="paragraph" w:styleId="EBody" w:customStyle="1">
    <w:name w:val="EBody"/>
    <w:basedOn w:val="Normal"/>
    <w:qFormat/>
    <w:rsid w:val="007f0245"/>
    <w:pPr>
      <w:spacing w:before="60" w:after="60"/>
      <w:ind w:firstLine="567"/>
    </w:pPr>
    <w:rPr>
      <w:rFonts w:ascii="Tahoma" w:hAnsi="Tahoma"/>
      <w:sz w:val="18"/>
      <w:szCs w:val="20"/>
    </w:rPr>
  </w:style>
  <w:style w:type="paragraph" w:styleId="310" w:customStyle="1">
    <w:name w:val="Стиль Заголовок 3"/>
    <w:basedOn w:val="3"/>
    <w:qFormat/>
    <w:rsid w:val="00531b07"/>
    <w:pPr/>
    <w:rPr>
      <w:rFonts w:ascii="Myriad Pro Cond" w:hAnsi="Myriad Pro Cond" w:cs="Times New Roman"/>
      <w:color w:val="127BCA"/>
      <w:sz w:val="24"/>
      <w:szCs w:val="24"/>
      <w:lang w:val="x-none" w:eastAsia="x-none"/>
    </w:rPr>
  </w:style>
  <w:style w:type="paragraph" w:styleId="18" w:customStyle="1">
    <w:name w:val="Стиль Заголовок 1"/>
    <w:basedOn w:val="1"/>
    <w:next w:val="Normal"/>
    <w:qFormat/>
    <w:rsid w:val="009c6f89"/>
    <w:pPr>
      <w:pageBreakBefore/>
      <w:tabs>
        <w:tab w:val="left" w:pos="-1260" w:leader="none"/>
        <w:tab w:val="left" w:pos="-900" w:leader="none"/>
        <w:tab w:val="left" w:pos="680" w:leader="none"/>
        <w:tab w:val="left" w:pos="2160" w:leader="none"/>
        <w:tab w:val="left" w:pos="7230" w:leader="none"/>
      </w:tabs>
      <w:overflowPunct w:val="false"/>
      <w:jc w:val="left"/>
      <w:textAlignment w:val="auto"/>
    </w:pPr>
    <w:rPr>
      <w:rFonts w:ascii="Myriad Pro Cond" w:hAnsi="Myriad Pro Cond"/>
      <w:bCs/>
      <w:color w:val="127BCA"/>
      <w:kern w:val="2"/>
      <w:sz w:val="32"/>
      <w:szCs w:val="32"/>
    </w:rPr>
  </w:style>
  <w:style w:type="paragraph" w:styleId="211" w:customStyle="1">
    <w:name w:val="Стиль Заголовок 2"/>
    <w:basedOn w:val="2"/>
    <w:next w:val="Normal"/>
    <w:qFormat/>
    <w:rsid w:val="009c6f89"/>
    <w:pPr>
      <w:tabs>
        <w:tab w:val="clear" w:pos="708"/>
        <w:tab w:val="left" w:pos="851" w:leader="none"/>
      </w:tabs>
      <w:overflowPunct w:val="false"/>
      <w:spacing w:lineRule="auto" w:line="240" w:before="120" w:after="120"/>
      <w:jc w:val="left"/>
      <w:textAlignment w:val="auto"/>
    </w:pPr>
    <w:rPr>
      <w:rFonts w:ascii="Myriad Pro Cond" w:hAnsi="Myriad Pro Cond" w:cs="Arial"/>
      <w:color w:val="127BCA"/>
      <w:sz w:val="28"/>
      <w:szCs w:val="20"/>
    </w:rPr>
  </w:style>
  <w:style w:type="paragraph" w:styleId="311" w:customStyle="1">
    <w:name w:val="Основной текст (3)1"/>
    <w:basedOn w:val="Normal"/>
    <w:qFormat/>
    <w:rsid w:val="00687628"/>
    <w:pPr>
      <w:shd w:val="clear" w:color="auto" w:fill="FFFFFF"/>
      <w:spacing w:lineRule="atLeast" w:line="240"/>
    </w:pPr>
    <w:rPr>
      <w:b/>
      <w:bCs/>
      <w:sz w:val="19"/>
      <w:szCs w:val="19"/>
    </w:rPr>
  </w:style>
  <w:style w:type="paragraph" w:styleId="1211" w:customStyle="1">
    <w:name w:val="Заголовок №1 (2)1"/>
    <w:basedOn w:val="Normal"/>
    <w:link w:val="120"/>
    <w:qFormat/>
    <w:rsid w:val="00b56d43"/>
    <w:pPr>
      <w:shd w:val="clear" w:color="auto" w:fill="FFFFFF"/>
      <w:spacing w:lineRule="atLeast" w:line="240" w:before="300" w:after="300"/>
      <w:outlineLvl w:val="0"/>
    </w:pPr>
    <w:rPr>
      <w:b/>
      <w:bCs/>
      <w:sz w:val="28"/>
      <w:szCs w:val="28"/>
      <w:lang w:val="x-none" w:eastAsia="x-none"/>
    </w:rPr>
  </w:style>
  <w:style w:type="paragraph" w:styleId="411" w:customStyle="1">
    <w:name w:val="Основной текст (4)1"/>
    <w:basedOn w:val="Normal"/>
    <w:qFormat/>
    <w:rsid w:val="00b56d43"/>
    <w:pPr>
      <w:shd w:val="clear" w:color="auto" w:fill="FFFFFF"/>
      <w:spacing w:lineRule="atLeast" w:line="240"/>
    </w:pPr>
    <w:rPr>
      <w:b/>
      <w:bCs/>
      <w:sz w:val="16"/>
      <w:szCs w:val="16"/>
    </w:rPr>
  </w:style>
  <w:style w:type="paragraph" w:styleId="51" w:customStyle="1">
    <w:name w:val="Основной текст (5)"/>
    <w:basedOn w:val="Normal"/>
    <w:link w:val="5"/>
    <w:qFormat/>
    <w:rsid w:val="00b56d43"/>
    <w:pPr>
      <w:shd w:val="clear" w:color="auto" w:fill="FFFFFF"/>
      <w:spacing w:lineRule="atLeast" w:line="240"/>
    </w:pPr>
    <w:rPr>
      <w:sz w:val="19"/>
      <w:szCs w:val="19"/>
      <w:lang w:val="x-none" w:eastAsia="x-none"/>
    </w:rPr>
  </w:style>
  <w:style w:type="paragraph" w:styleId="Style37" w:customStyle="1">
    <w:name w:val="Подпись к таблице"/>
    <w:basedOn w:val="Normal"/>
    <w:qFormat/>
    <w:rsid w:val="00b56d43"/>
    <w:pPr>
      <w:shd w:val="clear" w:color="auto" w:fill="FFFFFF"/>
      <w:spacing w:lineRule="exact" w:line="269"/>
    </w:pPr>
    <w:rPr/>
  </w:style>
  <w:style w:type="paragraph" w:styleId="212" w:customStyle="1">
    <w:name w:val="Подпись к таблице (2)1"/>
    <w:basedOn w:val="Normal"/>
    <w:qFormat/>
    <w:rsid w:val="00b56d43"/>
    <w:pPr>
      <w:shd w:val="clear" w:color="auto" w:fill="FFFFFF"/>
      <w:spacing w:lineRule="exact" w:line="269"/>
    </w:pPr>
    <w:rPr>
      <w:b/>
      <w:bCs/>
    </w:rPr>
  </w:style>
  <w:style w:type="paragraph" w:styleId="213" w:customStyle="1">
    <w:name w:val="Основной текст (2)1"/>
    <w:basedOn w:val="Normal"/>
    <w:link w:val="26"/>
    <w:qFormat/>
    <w:rsid w:val="00b56d43"/>
    <w:pPr>
      <w:shd w:val="clear" w:color="auto" w:fill="FFFFFF"/>
      <w:spacing w:lineRule="atLeast" w:line="240"/>
    </w:pPr>
    <w:rPr>
      <w:sz w:val="20"/>
      <w:szCs w:val="20"/>
      <w:lang w:val="x-none" w:eastAsia="x-none"/>
    </w:rPr>
  </w:style>
  <w:style w:type="paragraph" w:styleId="312" w:customStyle="1">
    <w:name w:val="Подпись к таблице (3)1"/>
    <w:basedOn w:val="Normal"/>
    <w:link w:val="38"/>
    <w:qFormat/>
    <w:rsid w:val="00b56d43"/>
    <w:pPr>
      <w:shd w:val="clear" w:color="auto" w:fill="FFFFFF"/>
      <w:spacing w:lineRule="atLeast" w:line="240"/>
    </w:pPr>
    <w:rPr>
      <w:sz w:val="19"/>
      <w:szCs w:val="19"/>
      <w:lang w:val="x-none" w:eastAsia="x-none"/>
    </w:rPr>
  </w:style>
  <w:style w:type="paragraph" w:styleId="BodyText3">
    <w:name w:val="Body Text 3"/>
    <w:basedOn w:val="Normal"/>
    <w:link w:val="3b"/>
    <w:qFormat/>
    <w:rsid w:val="00391129"/>
    <w:pPr>
      <w:spacing w:before="0" w:after="120"/>
    </w:pPr>
    <w:rPr>
      <w:sz w:val="16"/>
      <w:szCs w:val="16"/>
      <w:lang w:val="x-none" w:eastAsia="x-none"/>
    </w:rPr>
  </w:style>
  <w:style w:type="paragraph" w:styleId="19" w:customStyle="1">
    <w:name w:val="Текст1"/>
    <w:basedOn w:val="Normal"/>
    <w:qFormat/>
    <w:rsid w:val="00915538"/>
    <w:pPr>
      <w:overflowPunct w:val="true"/>
      <w:textAlignment w:val="baseline"/>
    </w:pPr>
    <w:rPr>
      <w:rFonts w:ascii="Courier New" w:hAnsi="Courier New"/>
      <w:sz w:val="20"/>
      <w:szCs w:val="20"/>
    </w:rPr>
  </w:style>
  <w:style w:type="paragraph" w:styleId="Default" w:customStyle="1">
    <w:name w:val="default"/>
    <w:basedOn w:val="Normal"/>
    <w:qFormat/>
    <w:rsid w:val="00915538"/>
    <w:pPr>
      <w:spacing w:before="100" w:after="0"/>
    </w:pPr>
    <w:rPr>
      <w:rFonts w:ascii="Tahoma" w:hAnsi="Tahoma" w:eastAsia="Arial Unicode MS" w:cs="Tahoma"/>
      <w:sz w:val="16"/>
      <w:szCs w:val="16"/>
    </w:rPr>
  </w:style>
  <w:style w:type="paragraph" w:styleId="110" w:customStyle="1">
    <w:name w:val="Обычный1"/>
    <w:qFormat/>
    <w:rsid w:val="00915538"/>
    <w:pPr>
      <w:widowControl/>
      <w:bidi w:val="0"/>
      <w:jc w:val="left"/>
    </w:pPr>
    <w:rPr>
      <w:rFonts w:ascii="Times New Roman" w:hAnsi="Times New Roman" w:eastAsia="Times New Roman" w:cs="Times New Roman"/>
      <w:color w:val="auto"/>
      <w:kern w:val="0"/>
      <w:sz w:val="24"/>
      <w:szCs w:val="20"/>
      <w:lang w:val="ru-RU" w:eastAsia="ru-RU" w:bidi="ar-SA"/>
    </w:rPr>
  </w:style>
  <w:style w:type="paragraph" w:styleId="214" w:customStyle="1">
    <w:name w:val="Заголовок 21"/>
    <w:basedOn w:val="Normal"/>
    <w:uiPriority w:val="1"/>
    <w:qFormat/>
    <w:rsid w:val="00915538"/>
    <w:pPr>
      <w:widowControl w:val="false"/>
      <w:ind w:left="798" w:hanging="681"/>
      <w:outlineLvl w:val="2"/>
    </w:pPr>
    <w:rPr>
      <w:rFonts w:ascii="Arial" w:hAnsi="Arial" w:eastAsia="Arial"/>
      <w:b/>
      <w:bCs/>
      <w:sz w:val="22"/>
      <w:szCs w:val="22"/>
      <w:lang w:val="en-US" w:eastAsia="en-US"/>
    </w:rPr>
  </w:style>
  <w:style w:type="paragraph" w:styleId="215" w:customStyle="1">
    <w:name w:val="заголовок 2"/>
    <w:basedOn w:val="Normal"/>
    <w:next w:val="Normal"/>
    <w:autoRedefine/>
    <w:qFormat/>
    <w:rsid w:val="006b4cc5"/>
    <w:pPr>
      <w:keepNext w:val="true"/>
      <w:spacing w:before="120" w:after="60"/>
      <w:jc w:val="center"/>
      <w:outlineLvl w:val="1"/>
    </w:pPr>
    <w:rPr>
      <w:b/>
      <w:sz w:val="32"/>
      <w:szCs w:val="32"/>
    </w:rPr>
  </w:style>
  <w:style w:type="paragraph" w:styleId="Style38" w:customStyle="1">
    <w:name w:val="Сумма прописью"/>
    <w:basedOn w:val="Normal"/>
    <w:qFormat/>
    <w:rsid w:val="006b4cc5"/>
    <w:pPr>
      <w:tabs>
        <w:tab w:val="clear" w:pos="708"/>
        <w:tab w:val="left" w:pos="284" w:leader="none"/>
      </w:tabs>
      <w:spacing w:before="0" w:after="120"/>
      <w:ind w:firstLine="567"/>
      <w:jc w:val="both"/>
    </w:pPr>
    <w:rPr>
      <w:rFonts w:eastAsia="MS Sans Serif"/>
      <w:sz w:val="28"/>
      <w:szCs w:val="20"/>
    </w:rPr>
  </w:style>
  <w:style w:type="paragraph" w:styleId="Formattext" w:customStyle="1">
    <w:name w:val="formattext"/>
    <w:basedOn w:val="Normal"/>
    <w:qFormat/>
    <w:rsid w:val="00373ce0"/>
    <w:pPr>
      <w:spacing w:beforeAutospacing="1" w:afterAutospacing="1"/>
    </w:pPr>
    <w:rPr/>
  </w:style>
  <w:style w:type="paragraph" w:styleId="Style39" w:customStyle="1">
    <w:name w:val="Таблица-текст"/>
    <w:basedOn w:val="Normal"/>
    <w:uiPriority w:val="99"/>
    <w:qFormat/>
    <w:rsid w:val="000c4e6b"/>
    <w:pPr>
      <w:spacing w:before="40" w:after="40"/>
      <w:jc w:val="both"/>
    </w:pPr>
    <w:rPr>
      <w:sz w:val="22"/>
      <w:szCs w:val="20"/>
    </w:rPr>
  </w:style>
  <w:style w:type="paragraph" w:styleId="52" w:customStyle="1">
    <w:name w:val="Основной текст5"/>
    <w:basedOn w:val="Normal"/>
    <w:link w:val="aff1"/>
    <w:qFormat/>
    <w:rsid w:val="00d1470f"/>
    <w:pPr>
      <w:widowControl w:val="false"/>
      <w:shd w:val="clear" w:color="auto" w:fill="FFFFFF"/>
      <w:spacing w:lineRule="exact" w:line="360"/>
      <w:ind w:hanging="1840"/>
      <w:jc w:val="right"/>
    </w:pPr>
    <w:rPr>
      <w:rFonts w:ascii="Arial Unicode MS" w:hAnsi="Arial Unicode MS" w:eastAsia="Arial Unicode MS" w:cs="Arial Unicode MS"/>
      <w:sz w:val="20"/>
      <w:szCs w:val="20"/>
    </w:rPr>
  </w:style>
  <w:style w:type="paragraph" w:styleId="Default1" w:customStyle="1">
    <w:name w:val="Default"/>
    <w:uiPriority w:val="99"/>
    <w:qFormat/>
    <w:rsid w:val="00e2686a"/>
    <w:pPr>
      <w:widowControl/>
      <w:bidi w:val="0"/>
      <w:jc w:val="left"/>
    </w:pPr>
    <w:rPr>
      <w:rFonts w:ascii="Times New Roman" w:hAnsi="Times New Roman" w:eastAsia="Times New Roman" w:cs="Times New Roman"/>
      <w:color w:val="000000"/>
      <w:kern w:val="0"/>
      <w:sz w:val="24"/>
      <w:szCs w:val="24"/>
      <w:lang w:val="ru-RU" w:eastAsia="ru-RU" w:bidi="ar-SA"/>
    </w:rPr>
  </w:style>
  <w:style w:type="paragraph" w:styleId="NoSpacing">
    <w:name w:val="No Spacing"/>
    <w:uiPriority w:val="1"/>
    <w:qFormat/>
    <w:rsid w:val="00a1045a"/>
    <w:pPr>
      <w:widowControl w:val="false"/>
      <w:bidi w:val="0"/>
      <w:jc w:val="left"/>
    </w:pPr>
    <w:rPr>
      <w:rFonts w:ascii="Courier New" w:hAnsi="Courier New" w:eastAsia="Courier New" w:cs="Courier New"/>
      <w:color w:val="000000"/>
      <w:kern w:val="0"/>
      <w:sz w:val="24"/>
      <w:szCs w:val="24"/>
      <w:lang w:bidi="ru-RU" w:val="ru-RU" w:eastAsia="ru-RU"/>
    </w:rPr>
  </w:style>
  <w:style w:type="paragraph" w:styleId="Style40" w:customStyle="1">
    <w:name w:val="Нумерованный"/>
    <w:basedOn w:val="Normal"/>
    <w:qFormat/>
    <w:rsid w:val="00af6be0"/>
    <w:pPr>
      <w:widowControl w:val="false"/>
      <w:ind w:right="284" w:hanging="0"/>
      <w:jc w:val="both"/>
    </w:pPr>
    <w:rPr>
      <w:rFonts w:eastAsia="Calibri"/>
      <w:bCs/>
      <w:szCs w:val="23"/>
    </w:rPr>
  </w:style>
  <w:style w:type="paragraph" w:styleId="BodyTextIndent2">
    <w:name w:val="Body Text Indent 2"/>
    <w:basedOn w:val="Normal"/>
    <w:link w:val="2b"/>
    <w:qFormat/>
    <w:rsid w:val="00af6be0"/>
    <w:pPr>
      <w:spacing w:lineRule="auto" w:line="480" w:before="0" w:after="120"/>
      <w:ind w:left="283" w:hanging="0"/>
    </w:pPr>
    <w:rPr/>
  </w:style>
  <w:style w:type="paragraph" w:styleId="ListParagraph">
    <w:name w:val="List Paragraph"/>
    <w:basedOn w:val="Normal"/>
    <w:link w:val="aff4"/>
    <w:uiPriority w:val="34"/>
    <w:qFormat/>
    <w:rsid w:val="00af6be0"/>
    <w:pPr>
      <w:spacing w:before="0" w:after="0"/>
      <w:ind w:left="720" w:hanging="0"/>
      <w:contextualSpacing/>
    </w:pPr>
    <w:rPr>
      <w:sz w:val="20"/>
      <w:szCs w:val="20"/>
      <w:lang w:val="en-US" w:eastAsia="en-US"/>
    </w:rPr>
  </w:style>
  <w:style w:type="paragraph" w:styleId="Xl30" w:customStyle="1">
    <w:name w:val="xl30"/>
    <w:basedOn w:val="Normal"/>
    <w:qFormat/>
    <w:rsid w:val="000a5694"/>
    <w:pPr>
      <w:pBdr>
        <w:left w:val="double" w:sz="6" w:space="0" w:color="000000"/>
      </w:pBdr>
      <w:spacing w:beforeAutospacing="1" w:afterAutospacing="1"/>
    </w:pPr>
    <w:rPr>
      <w:rFonts w:ascii="Arial Unicode MS" w:hAnsi="Arial Unicode MS" w:eastAsia="Arial Unicode MS" w:cs="Arial Unicode MS"/>
    </w:rPr>
  </w:style>
  <w:style w:type="paragraph" w:styleId="Annotationtext">
    <w:name w:val="annotation text"/>
    <w:basedOn w:val="Normal"/>
    <w:link w:val="aff6"/>
    <w:uiPriority w:val="99"/>
    <w:unhideWhenUsed/>
    <w:qFormat/>
    <w:rsid w:val="00326c27"/>
    <w:pPr/>
    <w:rPr>
      <w:sz w:val="20"/>
      <w:szCs w:val="20"/>
    </w:rPr>
  </w:style>
  <w:style w:type="paragraph" w:styleId="102" w:customStyle="1">
    <w:name w:val="Стиль10"/>
    <w:basedOn w:val="Normal"/>
    <w:uiPriority w:val="99"/>
    <w:qFormat/>
    <w:rsid w:val="00326c27"/>
    <w:pPr>
      <w:jc w:val="center"/>
    </w:pPr>
    <w:rPr>
      <w:sz w:val="20"/>
      <w:szCs w:val="20"/>
      <w:lang w:eastAsia="en-US"/>
    </w:rPr>
  </w:style>
  <w:style w:type="paragraph" w:styleId="ConsPlusNormal" w:customStyle="1">
    <w:name w:val="ConsPlusNormal"/>
    <w:uiPriority w:val="99"/>
    <w:qFormat/>
    <w:rsid w:val="00da0c0f"/>
    <w:pPr>
      <w:widowControl w:val="false"/>
      <w:bidi w:val="0"/>
      <w:ind w:firstLine="720"/>
      <w:jc w:val="left"/>
    </w:pPr>
    <w:rPr>
      <w:rFonts w:ascii="Arial" w:hAnsi="Arial" w:cs="Arial" w:eastAsia="Times New Roman"/>
      <w:color w:val="auto"/>
      <w:kern w:val="0"/>
      <w:sz w:val="24"/>
      <w:szCs w:val="20"/>
      <w:lang w:val="ru-RU" w:eastAsia="ru-RU" w:bidi="ar-SA"/>
    </w:rPr>
  </w:style>
  <w:style w:type="paragraph" w:styleId="111" w:customStyle="1">
    <w:name w:val="Основной текст1"/>
    <w:basedOn w:val="Normal"/>
    <w:qFormat/>
    <w:rsid w:val="00da0c0f"/>
    <w:pPr>
      <w:widowControl w:val="false"/>
      <w:shd w:val="clear" w:color="auto" w:fill="FFFFFF"/>
      <w:spacing w:lineRule="auto" w:line="264"/>
      <w:ind w:firstLine="300"/>
    </w:pPr>
    <w:rPr>
      <w:sz w:val="19"/>
      <w:szCs w:val="19"/>
    </w:rPr>
  </w:style>
  <w:style w:type="paragraph" w:styleId="Style41" w:customStyle="1">
    <w:name w:val="Другое"/>
    <w:basedOn w:val="Normal"/>
    <w:link w:val="aff7"/>
    <w:qFormat/>
    <w:rsid w:val="00da0c0f"/>
    <w:pPr>
      <w:widowControl w:val="false"/>
      <w:shd w:val="clear" w:color="auto" w:fill="FFFFFF"/>
      <w:spacing w:lineRule="auto" w:line="264"/>
      <w:ind w:firstLine="300"/>
    </w:pPr>
    <w:rPr>
      <w:sz w:val="19"/>
      <w:szCs w:val="19"/>
    </w:rPr>
  </w:style>
  <w:style w:type="paragraph" w:styleId="Style42" w:customStyle="1">
    <w:name w:val="Подпись к картинке"/>
    <w:basedOn w:val="Normal"/>
    <w:link w:val="aff9"/>
    <w:qFormat/>
    <w:rsid w:val="00da0c0f"/>
    <w:pPr>
      <w:widowControl w:val="false"/>
      <w:shd w:val="clear" w:color="auto" w:fill="FFFFFF"/>
    </w:pPr>
    <w:rPr>
      <w:sz w:val="13"/>
      <w:szCs w:val="13"/>
    </w:rPr>
  </w:style>
  <w:style w:type="paragraph" w:styleId="112" w:customStyle="1">
    <w:name w:val="Название1"/>
    <w:basedOn w:val="Normal"/>
    <w:uiPriority w:val="10"/>
    <w:qFormat/>
    <w:rsid w:val="001952ba"/>
    <w:pPr>
      <w:jc w:val="center"/>
    </w:pPr>
    <w:rPr>
      <w:b/>
      <w:bCs/>
      <w:sz w:val="28"/>
      <w:szCs w:val="28"/>
      <w:lang w:val="x-none" w:eastAsia="x-none"/>
    </w:rPr>
  </w:style>
  <w:style w:type="paragraph" w:styleId="A" w:customStyle="1">
    <w:name w:val="a"/>
    <w:basedOn w:val="Normal"/>
    <w:qFormat/>
    <w:rsid w:val="001952ba"/>
    <w:pPr>
      <w:spacing w:before="120" w:after="120"/>
      <w:ind w:firstLine="567"/>
      <w:jc w:val="both"/>
    </w:pPr>
    <w:rPr>
      <w:rFonts w:ascii="Myriad Pro Cond" w:hAnsi="Myriad Pro Cond" w:cs="Myriad Pro Cond"/>
    </w:rPr>
  </w:style>
  <w:style w:type="paragraph" w:styleId="NormalIndent">
    <w:name w:val="Normal Indent"/>
    <w:basedOn w:val="Normal"/>
    <w:qFormat/>
    <w:rsid w:val="001952ba"/>
    <w:pPr>
      <w:ind w:right="284" w:firstLine="357"/>
      <w:jc w:val="both"/>
    </w:pPr>
    <w:rPr>
      <w:rFonts w:eastAsia="Calibri"/>
    </w:rPr>
  </w:style>
  <w:style w:type="paragraph" w:styleId="223" w:customStyle="1">
    <w:name w:val="22"/>
    <w:basedOn w:val="Normal"/>
    <w:next w:val="Normal"/>
    <w:qFormat/>
    <w:rsid w:val="001952ba"/>
    <w:pPr>
      <w:widowControl w:val="false"/>
      <w:suppressAutoHyphens w:val="true"/>
      <w:spacing w:lineRule="atLeast" w:line="240"/>
      <w:ind w:right="284" w:firstLine="357"/>
      <w:jc w:val="both"/>
    </w:pPr>
    <w:rPr>
      <w:rFonts w:eastAsia="Calibri"/>
      <w:color w:val="000000"/>
      <w:u w:val="none" w:color="000000"/>
    </w:rPr>
  </w:style>
  <w:style w:type="paragraph" w:styleId="Ae" w:customStyle="1">
    <w:name w:val="ae"/>
    <w:basedOn w:val="A"/>
    <w:qFormat/>
    <w:rsid w:val="001952ba"/>
    <w:pPr>
      <w:widowControl w:val="false"/>
      <w:suppressAutoHyphens w:val="true"/>
      <w:spacing w:lineRule="atLeast" w:line="240" w:before="100" w:after="100"/>
      <w:ind w:hanging="0"/>
      <w:jc w:val="left"/>
    </w:pPr>
    <w:rPr>
      <w:rFonts w:ascii="Times New Roman" w:hAnsi="Times New Roman" w:eastAsia="Calibri" w:cs="Times New Roman"/>
      <w:color w:val="000000"/>
      <w:u w:val="none" w:color="000000"/>
    </w:rPr>
  </w:style>
  <w:style w:type="paragraph" w:styleId="Paragraph" w:customStyle="1">
    <w:name w:val="paragraph"/>
    <w:basedOn w:val="Normal"/>
    <w:qFormat/>
    <w:rsid w:val="001952ba"/>
    <w:pPr>
      <w:spacing w:beforeAutospacing="1" w:afterAutospacing="1"/>
    </w:pPr>
    <w:rPr/>
  </w:style>
  <w:style w:type="paragraph" w:styleId="Style43">
    <w:name w:val="Содержимое врезки"/>
    <w:basedOn w:val="Normal"/>
    <w:qFormat/>
    <w:pPr/>
    <w:rPr/>
  </w:style>
  <w:style w:type="numbering" w:styleId="NoList" w:default="1">
    <w:name w:val="No List"/>
    <w:uiPriority w:val="99"/>
    <w:semiHidden/>
    <w:unhideWhenUsed/>
    <w:qFormat/>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b">
    <w:name w:val="Table Grid"/>
    <w:basedOn w:val="a2"/>
    <w:uiPriority w:val="59"/>
    <w:rsid w:val="00aa2d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
    <w:name w:val="Light Shading Accent 1"/>
    <w:basedOn w:val="a2"/>
    <w:uiPriority w:val="60"/>
    <w:unhideWhenUsed/>
    <w:rsid w:val="003c4c00"/>
    <w:rPr>
      <w:color w:val="2E74B5" w:themeColor="accent1" w:themeShade="bf"/>
    </w:rPr>
    <w:tblPr>
      <w:tblStyleRowBandSize w:val="1"/>
      <w:tblStyleColBandSize w:val="1"/>
      <w:tblInd w:w="0" w:type="nil"/>
      <w:tblBorders>
        <w:top w:val="single" w:color="5B9BD5" w:themeColor="accent1" w:sz="8" w:space="0"/>
        <w:bottom w:val="single" w:color="5B9BD5" w:themeColor="accent1" w:sz="8" w:space="0"/>
      </w:tblBorders>
    </w:tblPr>
    <w:tblStylePr w:type="firstRow">
      <w:pPr>
        <w:spacing w:before="0" w:beforeLines="0" w:after="0" w:afterLines="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beforeLines="0" w:after="0" w:afterLines="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wmf"/><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hyperlink" Target="http://www.emex.ru/" TargetMode="External"/><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hyperlink" Target="https://www.globalrent.ru/" TargetMode="External"/><Relationship Id="rId45" Type="http://schemas.openxmlformats.org/officeDocument/2006/relationships/hyperlink" Target="https://nivus.ru/" TargetMode="External"/><Relationship Id="rId46" Type="http://schemas.openxmlformats.org/officeDocument/2006/relationships/hyperlink" Target="http://pro-pokraska.ru/" TargetMode="External"/><Relationship Id="rId47" Type="http://schemas.openxmlformats.org/officeDocument/2006/relationships/hyperlink" Target="https://symbol-service.ru/" TargetMode="External"/><Relationship Id="rId48" Type="http://schemas.openxmlformats.org/officeDocument/2006/relationships/hyperlink" Target="https://pitstopcolor.ru/" TargetMode="External"/><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B5F4E-2D6A-4D16-A4E4-6DD67E08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LibreOffice/6.1.5.2$Linux_X86_64 LibreOffice_project/10$Build-2</Application>
  <Pages>34</Pages>
  <Words>6187</Words>
  <Characters>42365</Characters>
  <CharactersWithSpaces>48050</CharactersWithSpaces>
  <Paragraphs>918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2023-04-04T11:26:00Z</dcterms:created>
  <dc:creator>Владимир</dc:creator>
  <dc:description/>
  <dc:language>ru-RU</dc:language>
  <cp:lastModifiedBy/>
  <cp:lastPrinted>2023-04-13T13:28:00Z</cp:lastPrinted>
  <dcterms:modified xsi:type="dcterms:W3CDTF">2023-07-11T19:16:30Z</dcterms:modified>
  <cp:revision>4</cp:revision>
  <dc:subject/>
  <dc:title>СК-ОЦЕНКА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