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6.jpeg" ContentType="image/jpeg"/>
  <Override PartName="/word/media/image15.jpeg" ContentType="image/jpeg"/>
  <Override PartName="/word/media/image14.jpeg" ContentType="image/jpeg"/>
  <Override PartName="/word/media/image13.jpeg" ContentType="image/jpeg"/>
  <Override PartName="/word/media/image12.jpeg" ContentType="image/jpeg"/>
  <Override PartName="/word/media/image11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10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Web"/>
        <w:spacing w:before="102" w:after="102"/>
        <w:rPr>
          <w:color w:val="000000"/>
        </w:rPr>
      </w:pPr>
      <w:r>
        <w:rPr>
          <w:color w:val="000000"/>
        </w:rPr>
      </w:r>
    </w:p>
    <w:tbl>
      <w:tblPr>
        <w:tblpPr w:bottomFromText="0" w:horzAnchor="margin" w:leftFromText="180" w:rightFromText="180" w:tblpX="0" w:tblpXSpec="center" w:tblpY="235" w:topFromText="0" w:vertAnchor="page"/>
        <w:tblW w:w="9612" w:type="dxa"/>
        <w:jc w:val="center"/>
        <w:tblInd w:w="0" w:type="dxa"/>
        <w:tblBorders/>
        <w:tblCellMar>
          <w:top w:w="0" w:type="dxa"/>
          <w:left w:w="0" w:type="dxa"/>
          <w:bottom w:w="0" w:type="dxa"/>
          <w:right w:w="0" w:type="dxa"/>
        </w:tblCellMar>
        <w:tblLook w:val="04a0" w:noVBand="1" w:noHBand="0" w:lastColumn="0" w:firstColumn="1" w:lastRow="0" w:firstRow="1"/>
      </w:tblPr>
      <w:tblGrid>
        <w:gridCol w:w="9612"/>
      </w:tblGrid>
      <w:tr>
        <w:trPr>
          <w:trHeight w:val="348" w:hRule="atLeast"/>
        </w:trPr>
        <w:tc>
          <w:tcPr>
            <w:tcW w:w="9612" w:type="dxa"/>
            <w:tcBorders/>
            <w:shd w:fill="auto" w:val="clear"/>
          </w:tcPr>
          <w:p>
            <w:pPr>
              <w:pStyle w:val="Normal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</w:r>
          </w:p>
          <w:p>
            <w:pPr>
              <w:pStyle w:val="Normal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/>
              <w:drawing>
                <wp:inline distT="0" distB="0" distL="19050" distR="7620">
                  <wp:extent cx="5688330" cy="1275715"/>
                  <wp:effectExtent l="0" t="0" r="0" b="0"/>
                  <wp:docPr id="1" name="Рисунок 1" descr="Itog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Itog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8330" cy="127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</w:r>
          </w:p>
          <w:p>
            <w:pPr>
              <w:pStyle w:val="Normal"/>
              <w:jc w:val="center"/>
              <w:rPr/>
            </w:pPr>
            <w:r>
              <w:rPr>
                <w:bCs/>
                <w:color w:val="000000"/>
                <w:sz w:val="20"/>
                <w:szCs w:val="20"/>
              </w:rPr>
              <w:t>ОГРН 1127747107553</w:t>
            </w:r>
            <w:r>
              <w:rPr>
                <w:bCs/>
                <w:color w:val="000000"/>
                <w:sz w:val="20"/>
                <w:szCs w:val="20"/>
              </w:rPr>
              <w:fldChar w:fldCharType="begin"/>
            </w:r>
            <w:r>
              <w:rPr>
                <w:sz w:val="20"/>
                <w:szCs w:val="20"/>
                <w:bCs/>
              </w:rPr>
              <w:instrText> MERGEFIELD ОГРН_оценщикаконтрактора </w:instrText>
            </w:r>
            <w:r>
              <w:rPr>
                <w:sz w:val="20"/>
                <w:szCs w:val="20"/>
                <w:bCs/>
              </w:rPr>
              <w:fldChar w:fldCharType="separate"/>
            </w:r>
            <w:r>
              <w:rPr>
                <w:sz w:val="20"/>
                <w:szCs w:val="20"/>
                <w:bCs/>
              </w:rPr>
            </w:r>
            <w:r>
              <w:rPr>
                <w:sz w:val="20"/>
                <w:szCs w:val="20"/>
                <w:bCs/>
              </w:rPr>
              <w:fldChar w:fldCharType="end"/>
            </w:r>
            <w:r>
              <w:rPr>
                <w:bCs/>
                <w:color w:val="000000"/>
                <w:sz w:val="20"/>
                <w:szCs w:val="20"/>
              </w:rPr>
              <w:t xml:space="preserve">, ИНН/КПП 7709915321/772501001, </w:t>
              <w:br/>
              <w:t xml:space="preserve">Юр. адрес: </w:t>
            </w:r>
            <w:r>
              <w:rPr>
                <w:bCs/>
                <w:color w:val="000000"/>
                <w:sz w:val="20"/>
                <w:szCs w:val="20"/>
              </w:rPr>
              <w:fldChar w:fldCharType="begin"/>
            </w:r>
            <w:r>
              <w:rPr>
                <w:sz w:val="20"/>
                <w:szCs w:val="20"/>
                <w:bCs/>
              </w:rPr>
              <w:instrText> MERGEFIELD Юридический_адрес_оценщикаконтрактора </w:instrText>
            </w:r>
            <w:r>
              <w:rPr>
                <w:sz w:val="20"/>
                <w:szCs w:val="20"/>
                <w:bCs/>
              </w:rPr>
              <w:fldChar w:fldCharType="separate"/>
            </w:r>
            <w:r>
              <w:rPr>
                <w:sz w:val="20"/>
                <w:szCs w:val="20"/>
                <w:bCs/>
              </w:rPr>
              <w:t xml:space="preserve">РФ, 115280, г. Москва, ул. Ленинская Слобода, д.19, эт. 6/3К, комн. 3Л </w:t>
            </w:r>
            <w:r>
              <w:rPr>
                <w:sz w:val="20"/>
                <w:szCs w:val="20"/>
                <w:bCs/>
              </w:rPr>
              <w:fldChar w:fldCharType="end"/>
            </w:r>
          </w:p>
          <w:p>
            <w:pPr>
              <w:pStyle w:val="Normal"/>
              <w:jc w:val="center"/>
              <w:rPr/>
            </w:pPr>
            <w:r>
              <w:rPr>
                <w:bCs/>
                <w:color w:val="000000"/>
                <w:sz w:val="20"/>
                <w:szCs w:val="20"/>
              </w:rPr>
              <w:t>Факт. адрес: 115280, г. Москва, ул. Ленинская Слобода, д. 19</w:t>
              <w:br/>
              <w:t xml:space="preserve">Тел. </w:t>
            </w:r>
            <w:r>
              <w:rPr>
                <w:bCs/>
                <w:color w:val="000000"/>
                <w:sz w:val="20"/>
                <w:szCs w:val="20"/>
              </w:rPr>
              <w:fldChar w:fldCharType="begin"/>
            </w:r>
            <w:r>
              <w:rPr>
                <w:sz w:val="20"/>
                <w:szCs w:val="20"/>
                <w:bCs/>
              </w:rPr>
              <w:instrText> MERGEFIELD Телефон_с_кодом_и_факс_с_кодом </w:instrText>
            </w:r>
            <w:r>
              <w:rPr>
                <w:sz w:val="20"/>
                <w:szCs w:val="20"/>
                <w:bCs/>
              </w:rPr>
              <w:fldChar w:fldCharType="separate"/>
            </w:r>
            <w:r>
              <w:rPr>
                <w:sz w:val="20"/>
                <w:szCs w:val="20"/>
                <w:bCs/>
              </w:rPr>
              <w:t>(495) 795-16-</w:t>
            </w:r>
            <w:r>
              <w:rPr>
                <w:sz w:val="20"/>
                <w:szCs w:val="20"/>
                <w:bCs/>
              </w:rPr>
              <w:fldChar w:fldCharType="end"/>
            </w:r>
            <w:r>
              <w:rPr>
                <w:bCs/>
                <w:color w:val="000000"/>
                <w:sz w:val="20"/>
                <w:szCs w:val="20"/>
              </w:rPr>
              <w:t xml:space="preserve">50, </w:t>
            </w:r>
            <w:r>
              <w:rPr>
                <w:bCs/>
                <w:color w:val="000000"/>
                <w:sz w:val="20"/>
                <w:szCs w:val="20"/>
                <w:lang w:val="en-US"/>
              </w:rPr>
              <w:t>e</w:t>
            </w:r>
            <w:r>
              <w:rPr>
                <w:bCs/>
                <w:color w:val="000000"/>
                <w:sz w:val="20"/>
                <w:szCs w:val="20"/>
              </w:rPr>
              <w:t>-</w:t>
            </w:r>
            <w:r>
              <w:rPr>
                <w:bCs/>
                <w:color w:val="000000"/>
                <w:sz w:val="20"/>
                <w:szCs w:val="20"/>
                <w:lang w:val="en-US"/>
              </w:rPr>
              <w:t>mail</w:t>
            </w:r>
            <w:r>
              <w:rPr>
                <w:bCs/>
                <w:color w:val="000000"/>
                <w:sz w:val="20"/>
                <w:szCs w:val="20"/>
              </w:rPr>
              <w:t xml:space="preserve">: </w:t>
            </w:r>
            <w:r>
              <w:rPr>
                <w:bCs/>
                <w:color w:val="000000"/>
                <w:sz w:val="20"/>
                <w:szCs w:val="20"/>
                <w:lang w:val="en-US"/>
              </w:rPr>
              <w:t>euro</w:t>
            </w:r>
            <w:r>
              <w:rPr>
                <w:bCs/>
                <w:color w:val="000000"/>
                <w:sz w:val="20"/>
                <w:szCs w:val="20"/>
              </w:rPr>
              <w:t>.</w:t>
            </w:r>
            <w:r>
              <w:rPr>
                <w:bCs/>
                <w:color w:val="000000"/>
                <w:sz w:val="20"/>
                <w:szCs w:val="20"/>
                <w:lang w:val="en-US"/>
              </w:rPr>
              <w:t>otsenka</w:t>
            </w:r>
            <w:r>
              <w:rPr>
                <w:bCs/>
                <w:color w:val="000000"/>
                <w:sz w:val="20"/>
                <w:szCs w:val="20"/>
              </w:rPr>
              <w:t>@</w:t>
            </w:r>
            <w:r>
              <w:rPr>
                <w:bCs/>
                <w:color w:val="000000"/>
                <w:sz w:val="20"/>
                <w:szCs w:val="20"/>
                <w:lang w:val="en-US"/>
              </w:rPr>
              <w:t>gmail</w:t>
            </w:r>
            <w:r>
              <w:rPr>
                <w:bCs/>
                <w:color w:val="000000"/>
                <w:sz w:val="20"/>
                <w:szCs w:val="20"/>
              </w:rPr>
              <w:t>.</w:t>
            </w:r>
            <w:r>
              <w:rPr>
                <w:bCs/>
                <w:color w:val="000000"/>
                <w:sz w:val="20"/>
                <w:szCs w:val="20"/>
                <w:lang w:val="en-US"/>
              </w:rPr>
              <w:t>com</w:t>
            </w:r>
          </w:p>
        </w:tc>
      </w:tr>
    </w:tbl>
    <w:p>
      <w:pPr>
        <w:pStyle w:val="Normal"/>
        <w:jc w:val="right"/>
        <w:rPr/>
      </w:pPr>
      <w:r>
        <w:rPr/>
        <w:t>Утверждаю</w:t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>
          <w:bCs/>
        </w:rPr>
        <w:t xml:space="preserve">Генеральный </w:t>
      </w:r>
      <w:r>
        <w:rPr>
          <w:bCs/>
          <w:lang w:val="en-US"/>
        </w:rPr>
        <w:fldChar w:fldCharType="begin"/>
      </w:r>
      <w:r>
        <w:rPr>
          <w:bCs/>
        </w:rPr>
        <w:instrText> MERGEFIELD Должность_лица_утверждающего_отчет </w:instrText>
      </w:r>
      <w:r>
        <w:rPr>
          <w:bCs/>
        </w:rPr>
        <w:fldChar w:fldCharType="separate"/>
      </w:r>
      <w:r>
        <w:rPr>
          <w:bCs/>
        </w:rPr>
        <w:t>Директор</w:t>
      </w:r>
      <w:r>
        <w:rPr>
          <w:bCs/>
        </w:rPr>
        <w:fldChar w:fldCharType="end"/>
      </w:r>
      <w:r>
        <w:rPr>
          <w:bCs/>
        </w:rPr>
        <w:br/>
      </w:r>
    </w:p>
    <w:p>
      <w:pPr>
        <w:pStyle w:val="Normal"/>
        <w:jc w:val="right"/>
        <w:rPr>
          <w:bCs/>
        </w:rPr>
      </w:pPr>
      <w:r>
        <w:rPr>
          <w:bCs/>
        </w:rPr>
        <w:t xml:space="preserve">_____________________________ </w:t>
      </w:r>
    </w:p>
    <w:p>
      <w:pPr>
        <w:pStyle w:val="Normal"/>
        <w:jc w:val="right"/>
        <w:rPr/>
      </w:pPr>
      <w:r>
        <w:rPr>
          <w:bCs/>
        </w:rPr>
        <w:t>м.п.</w:t>
        <w:tab/>
        <w:t>Попов Иван Владимирович</w:t>
      </w:r>
      <w:r>
        <w:rPr>
          <w:bCs/>
          <w:lang w:val="en-US"/>
        </w:rPr>
        <w:fldChar w:fldCharType="begin"/>
      </w:r>
      <w:r>
        <w:rPr>
          <w:bCs/>
        </w:rPr>
        <w:instrText> MERGEFIELD Фамилия_И_О_лица_утверждающего_отчет </w:instrText>
      </w:r>
      <w:r>
        <w:rPr>
          <w:bCs/>
        </w:rPr>
        <w:fldChar w:fldCharType="separate"/>
      </w:r>
      <w:r>
        <w:rPr>
          <w:bCs/>
        </w:rPr>
      </w:r>
      <w:r>
        <w:rPr>
          <w:bCs/>
        </w:rPr>
        <w:fldChar w:fldCharType="end"/>
      </w:r>
    </w:p>
    <w:p>
      <w:pPr>
        <w:pStyle w:val="Normal"/>
        <w:tabs>
          <w:tab w:val="clear" w:pos="708"/>
          <w:tab w:val="left" w:pos="10065" w:leader="none"/>
        </w:tabs>
        <w:ind w:left="1260" w:right="15" w:hanging="0"/>
        <w:jc w:val="right"/>
        <w:rPr>
          <w:color w:val="000000"/>
        </w:rPr>
      </w:pPr>
      <w:r>
        <w:rPr/>
        <w:t>«__»_______________2023 г</w:t>
      </w:r>
    </w:p>
    <w:p>
      <w:pPr>
        <w:pStyle w:val="Normal"/>
        <w:tabs>
          <w:tab w:val="clear" w:pos="708"/>
          <w:tab w:val="left" w:pos="10065" w:leader="none"/>
        </w:tabs>
        <w:ind w:left="1260" w:right="1260" w:hanging="0"/>
        <w:jc w:val="right"/>
        <w:rPr>
          <w:color w:val="000000"/>
        </w:rPr>
      </w:pPr>
      <w:r>
        <w:rPr>
          <w:color w:val="000000"/>
        </w:rPr>
      </w:r>
    </w:p>
    <w:p>
      <w:pPr>
        <w:pStyle w:val="Normal"/>
        <w:ind w:left="1260" w:right="1260" w:hanging="0"/>
        <w:jc w:val="right"/>
        <w:rPr>
          <w:rFonts w:ascii="Arial Narrow" w:hAnsi="Arial Narrow"/>
          <w:b/>
          <w:b/>
          <w:color w:val="000000"/>
          <w:sz w:val="36"/>
          <w:szCs w:val="36"/>
        </w:rPr>
      </w:pPr>
      <w:r>
        <w:rPr>
          <w:rFonts w:ascii="Arial Narrow" w:hAnsi="Arial Narrow"/>
          <w:b/>
          <w:color w:val="000000"/>
          <w:sz w:val="36"/>
          <w:szCs w:val="36"/>
        </w:rPr>
      </w:r>
    </w:p>
    <w:p>
      <w:pPr>
        <w:pStyle w:val="Normal"/>
        <w:ind w:left="1260" w:right="1260" w:hanging="0"/>
        <w:jc w:val="right"/>
        <w:rPr>
          <w:rFonts w:ascii="Arial Narrow" w:hAnsi="Arial Narrow"/>
          <w:b/>
          <w:b/>
          <w:color w:val="000000"/>
          <w:sz w:val="36"/>
          <w:szCs w:val="36"/>
        </w:rPr>
      </w:pPr>
      <w:r>
        <w:rPr>
          <w:rFonts w:ascii="Arial Narrow" w:hAnsi="Arial Narrow"/>
          <w:b/>
          <w:color w:val="000000"/>
          <w:sz w:val="36"/>
          <w:szCs w:val="36"/>
        </w:rPr>
      </w:r>
    </w:p>
    <w:p>
      <w:pPr>
        <w:pStyle w:val="Normal"/>
        <w:ind w:left="1260" w:right="1260" w:hanging="0"/>
        <w:jc w:val="right"/>
        <w:rPr>
          <w:rFonts w:ascii="Arial Narrow" w:hAnsi="Arial Narrow"/>
          <w:b/>
          <w:b/>
          <w:color w:val="000000"/>
          <w:sz w:val="36"/>
          <w:szCs w:val="36"/>
        </w:rPr>
      </w:pPr>
      <w:r>
        <w:rPr>
          <w:rFonts w:ascii="Arial Narrow" w:hAnsi="Arial Narrow"/>
          <w:b/>
          <w:color w:val="000000"/>
          <w:sz w:val="36"/>
          <w:szCs w:val="36"/>
        </w:rPr>
      </w:r>
    </w:p>
    <w:p>
      <w:pPr>
        <w:pStyle w:val="Normal"/>
        <w:ind w:left="1260" w:right="1260" w:hanging="0"/>
        <w:jc w:val="right"/>
        <w:rPr>
          <w:rFonts w:ascii="Arial Narrow" w:hAnsi="Arial Narrow"/>
          <w:b/>
          <w:b/>
          <w:color w:val="000000"/>
          <w:sz w:val="36"/>
          <w:szCs w:val="36"/>
        </w:rPr>
      </w:pPr>
      <w:r>
        <w:rPr>
          <w:rFonts w:ascii="Arial Narrow" w:hAnsi="Arial Narrow"/>
          <w:b/>
          <w:color w:val="000000"/>
          <w:sz w:val="36"/>
          <w:szCs w:val="36"/>
        </w:rPr>
      </w:r>
    </w:p>
    <w:p>
      <w:pPr>
        <w:pStyle w:val="Normal"/>
        <w:ind w:right="1260" w:hanging="0"/>
        <w:rPr>
          <w:rFonts w:ascii="Arial Narrow" w:hAnsi="Arial Narrow"/>
          <w:b/>
          <w:b/>
          <w:color w:val="000000"/>
          <w:sz w:val="36"/>
          <w:szCs w:val="36"/>
        </w:rPr>
      </w:pPr>
      <w:r>
        <w:rPr>
          <w:rFonts w:ascii="Arial Narrow" w:hAnsi="Arial Narrow"/>
          <w:b/>
          <w:color w:val="000000"/>
          <w:sz w:val="36"/>
          <w:szCs w:val="36"/>
        </w:rPr>
      </w:r>
    </w:p>
    <w:p>
      <w:pPr>
        <w:pStyle w:val="Normal"/>
        <w:ind w:left="1260" w:right="1260" w:hanging="0"/>
        <w:jc w:val="center"/>
        <w:rPr>
          <w:b/>
          <w:b/>
          <w:color w:val="000000"/>
          <w:sz w:val="36"/>
          <w:szCs w:val="36"/>
        </w:rPr>
      </w:pPr>
      <w:bookmarkStart w:id="0" w:name="__DdeLink__2965_1290133807"/>
      <w:r>
        <w:rPr>
          <w:b/>
          <w:color w:val="000000"/>
          <w:sz w:val="36"/>
          <w:szCs w:val="36"/>
        </w:rPr>
        <w:t xml:space="preserve">Заключение </w:t>
      </w:r>
      <w:r>
        <w:rPr>
          <w:b/>
          <w:sz w:val="36"/>
          <w:szCs w:val="36"/>
        </w:rPr>
        <w:t>№</w:t>
      </w:r>
      <w:r>
        <w:rPr>
          <w:b/>
          <w:bCs/>
          <w:color w:val="000000" w:themeColor="text1"/>
          <w:sz w:val="36"/>
          <w:szCs w:val="36"/>
        </w:rPr>
        <w:t>5806-0223-2</w:t>
      </w:r>
    </w:p>
    <w:p>
      <w:pPr>
        <w:pStyle w:val="Normal"/>
        <w:ind w:left="1260" w:right="1260" w:hanging="0"/>
        <w:jc w:val="center"/>
        <w:rPr>
          <w:b/>
          <w:b/>
          <w:color w:val="000000"/>
          <w:sz w:val="36"/>
          <w:szCs w:val="36"/>
        </w:rPr>
      </w:pPr>
      <w:bookmarkStart w:id="1" w:name="__DdeLink__2965_1290133807"/>
      <w:r>
        <w:rPr>
          <w:b/>
          <w:color w:val="000000"/>
          <w:sz w:val="36"/>
          <w:szCs w:val="36"/>
        </w:rPr>
        <w:t>Об определении утраты товарной стоимости</w:t>
      </w:r>
      <w:bookmarkEnd w:id="1"/>
    </w:p>
    <w:p>
      <w:pPr>
        <w:pStyle w:val="Normal"/>
        <w:ind w:left="1260" w:right="1260" w:hanging="0"/>
        <w:jc w:val="center"/>
        <w:rPr>
          <w:b/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 xml:space="preserve">(УТС) </w:t>
      </w:r>
    </w:p>
    <w:p>
      <w:pPr>
        <w:pStyle w:val="Normal"/>
        <w:ind w:left="1260" w:right="1260" w:hanging="0"/>
        <w:jc w:val="center"/>
        <w:rPr>
          <w:rFonts w:ascii="Arial Narrow" w:hAnsi="Arial Narrow"/>
          <w:b/>
          <w:b/>
          <w:bCs/>
          <w:iCs/>
          <w:color w:val="000000"/>
          <w:sz w:val="36"/>
          <w:szCs w:val="36"/>
        </w:rPr>
      </w:pPr>
      <w:r>
        <w:rPr>
          <w:rFonts w:ascii="Arial Narrow" w:hAnsi="Arial Narrow"/>
          <w:b/>
          <w:bCs/>
          <w:iCs/>
          <w:color w:val="000000"/>
          <w:sz w:val="36"/>
          <w:szCs w:val="36"/>
        </w:rPr>
      </w:r>
    </w:p>
    <w:p>
      <w:pPr>
        <w:pStyle w:val="Normal"/>
        <w:ind w:left="1260" w:right="1260" w:hanging="0"/>
        <w:jc w:val="center"/>
        <w:rPr>
          <w:b/>
          <w:b/>
          <w:bCs/>
          <w:i/>
          <w:i/>
          <w:iCs/>
          <w:color w:val="000000"/>
          <w:sz w:val="28"/>
        </w:rPr>
      </w:pPr>
      <w:r>
        <w:rPr>
          <w:b/>
          <w:bCs/>
          <w:i/>
          <w:iCs/>
          <w:color w:val="000000"/>
          <w:sz w:val="28"/>
        </w:rPr>
      </w:r>
    </w:p>
    <w:p>
      <w:pPr>
        <w:pStyle w:val="Normal"/>
        <w:ind w:left="1260" w:right="1260" w:hanging="0"/>
        <w:jc w:val="center"/>
        <w:rPr>
          <w:b/>
          <w:b/>
          <w:bCs/>
          <w:i/>
          <w:i/>
          <w:iCs/>
          <w:color w:val="000000"/>
          <w:sz w:val="28"/>
        </w:rPr>
      </w:pPr>
      <w:r>
        <w:rPr>
          <w:b/>
          <w:bCs/>
          <w:i/>
          <w:iCs/>
          <w:color w:val="000000"/>
          <w:sz w:val="28"/>
        </w:rPr>
      </w:r>
    </w:p>
    <w:p>
      <w:pPr>
        <w:pStyle w:val="Normal"/>
        <w:ind w:left="1260" w:right="1260" w:hanging="0"/>
        <w:jc w:val="center"/>
        <w:rPr>
          <w:b/>
          <w:b/>
          <w:bCs/>
          <w:i/>
          <w:i/>
          <w:iCs/>
          <w:color w:val="000000"/>
          <w:sz w:val="28"/>
        </w:rPr>
      </w:pPr>
      <w:r>
        <w:rPr>
          <w:b/>
          <w:bCs/>
          <w:i/>
          <w:iCs/>
          <w:color w:val="000000"/>
          <w:sz w:val="28"/>
        </w:rPr>
      </w:r>
    </w:p>
    <w:p>
      <w:pPr>
        <w:pStyle w:val="Normal"/>
        <w:ind w:left="1260" w:right="1260" w:hanging="0"/>
        <w:jc w:val="center"/>
        <w:rPr>
          <w:b/>
          <w:b/>
          <w:bCs/>
          <w:i/>
          <w:i/>
          <w:iCs/>
          <w:color w:val="000000"/>
          <w:sz w:val="28"/>
        </w:rPr>
      </w:pPr>
      <w:r>
        <w:rPr>
          <w:b/>
          <w:bCs/>
          <w:i/>
          <w:iCs/>
          <w:color w:val="000000"/>
          <w:sz w:val="28"/>
        </w:rPr>
      </w:r>
    </w:p>
    <w:p>
      <w:pPr>
        <w:pStyle w:val="Normal"/>
        <w:ind w:left="1260" w:right="1260" w:hanging="0"/>
        <w:jc w:val="center"/>
        <w:rPr>
          <w:b/>
          <w:b/>
          <w:bCs/>
          <w:i/>
          <w:i/>
          <w:iCs/>
          <w:color w:val="000000"/>
          <w:sz w:val="28"/>
        </w:rPr>
      </w:pPr>
      <w:r>
        <w:rPr>
          <w:b/>
          <w:bCs/>
          <w:i/>
          <w:iCs/>
          <w:color w:val="000000"/>
          <w:sz w:val="28"/>
        </w:rPr>
      </w:r>
    </w:p>
    <w:p>
      <w:pPr>
        <w:pStyle w:val="Normal"/>
        <w:ind w:left="1260" w:right="1260" w:hanging="0"/>
        <w:jc w:val="center"/>
        <w:rPr>
          <w:b/>
          <w:b/>
          <w:bCs/>
          <w:i/>
          <w:i/>
          <w:iCs/>
          <w:color w:val="000000"/>
          <w:sz w:val="28"/>
        </w:rPr>
      </w:pPr>
      <w:r>
        <w:rPr>
          <w:b/>
          <w:bCs/>
          <w:i/>
          <w:iCs/>
          <w:color w:val="000000"/>
          <w:sz w:val="28"/>
        </w:rPr>
      </w:r>
    </w:p>
    <w:p>
      <w:pPr>
        <w:pStyle w:val="Normal"/>
        <w:ind w:left="1260" w:right="1260" w:hanging="0"/>
        <w:jc w:val="center"/>
        <w:rPr>
          <w:b/>
          <w:b/>
          <w:bCs/>
          <w:i/>
          <w:i/>
          <w:iCs/>
          <w:color w:val="000000"/>
          <w:sz w:val="28"/>
        </w:rPr>
      </w:pPr>
      <w:r>
        <w:rPr>
          <w:b/>
          <w:bCs/>
          <w:i/>
          <w:iCs/>
          <w:color w:val="000000"/>
          <w:sz w:val="28"/>
        </w:rPr>
      </w:r>
    </w:p>
    <w:p>
      <w:pPr>
        <w:pStyle w:val="Normal"/>
        <w:tabs>
          <w:tab w:val="clear" w:pos="708"/>
          <w:tab w:val="left" w:pos="4536" w:leader="none"/>
        </w:tabs>
        <w:ind w:left="284" w:right="2160" w:hanging="0"/>
        <w:jc w:val="both"/>
        <w:rPr>
          <w:sz w:val="28"/>
          <w:szCs w:val="28"/>
        </w:rPr>
      </w:pPr>
      <w:r>
        <w:rPr>
          <w:sz w:val="28"/>
          <w:szCs w:val="28"/>
        </w:rPr>
        <w:t>Марка ТС: KIA Cerato</w:t>
      </w:r>
    </w:p>
    <w:p>
      <w:pPr>
        <w:pStyle w:val="Normal"/>
        <w:tabs>
          <w:tab w:val="clear" w:pos="708"/>
          <w:tab w:val="left" w:pos="4536" w:leader="none"/>
        </w:tabs>
        <w:ind w:right="2160" w:hanging="0"/>
        <w:jc w:val="both"/>
        <w:rPr/>
      </w:pP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Рег. Номер: </w:t>
      </w:r>
      <w:r>
        <w:rPr>
          <w:color w:val="000000" w:themeColor="text1"/>
          <w:sz w:val="28"/>
          <w:szCs w:val="28"/>
        </w:rPr>
        <w:t>********</w:t>
      </w:r>
    </w:p>
    <w:p>
      <w:pPr>
        <w:pStyle w:val="Normal"/>
        <w:tabs>
          <w:tab w:val="clear" w:pos="708"/>
          <w:tab w:val="left" w:pos="4536" w:leader="none"/>
        </w:tabs>
        <w:ind w:left="284" w:right="2160" w:hanging="0"/>
        <w:rPr/>
      </w:pPr>
      <w:r>
        <w:rPr>
          <w:sz w:val="28"/>
          <w:szCs w:val="28"/>
        </w:rPr>
        <w:t xml:space="preserve">Заказчик: </w:t>
      </w:r>
      <w:r>
        <w:rPr>
          <w:color w:val="000000" w:themeColor="text1"/>
          <w:sz w:val="28"/>
          <w:szCs w:val="28"/>
        </w:rPr>
        <w:t>********</w:t>
      </w:r>
    </w:p>
    <w:p>
      <w:pPr>
        <w:pStyle w:val="Normal"/>
        <w:tabs>
          <w:tab w:val="clear" w:pos="708"/>
          <w:tab w:val="left" w:pos="2552" w:leader="none"/>
          <w:tab w:val="left" w:pos="4536" w:leader="none"/>
          <w:tab w:val="left" w:pos="11766" w:leader="none"/>
        </w:tabs>
        <w:ind w:left="284" w:hanging="0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Дата составления заключения: </w:t>
      </w:r>
      <w:r>
        <w:rPr>
          <w:bCs/>
          <w:sz w:val="28"/>
          <w:szCs w:val="28"/>
        </w:rPr>
        <w:t>10 февраля 2023г.</w:t>
      </w:r>
    </w:p>
    <w:p>
      <w:pPr>
        <w:pStyle w:val="Normal"/>
        <w:rPr>
          <w:b/>
          <w:b/>
          <w:iCs/>
          <w:color w:val="000000"/>
        </w:rPr>
      </w:pPr>
      <w:r>
        <w:rPr>
          <w:b/>
          <w:iCs/>
          <w:color w:val="000000"/>
        </w:rPr>
      </w:r>
    </w:p>
    <w:p>
      <w:pPr>
        <w:pStyle w:val="Normal"/>
        <w:rPr>
          <w:color w:val="000000"/>
        </w:rPr>
      </w:pPr>
      <w:r>
        <w:rPr>
          <w:color w:val="000000"/>
        </w:rPr>
      </w:r>
    </w:p>
    <w:p>
      <w:pPr>
        <w:pStyle w:val="Normal"/>
        <w:tabs>
          <w:tab w:val="clear" w:pos="708"/>
          <w:tab w:val="left" w:pos="1260" w:leader="none"/>
          <w:tab w:val="left" w:pos="1980" w:leader="none"/>
          <w:tab w:val="right" w:pos="8931" w:leader="none"/>
          <w:tab w:val="left" w:pos="9214" w:leader="none"/>
        </w:tabs>
        <w:ind w:left="900" w:right="1260" w:firstLine="900"/>
        <w:rPr>
          <w:b/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</w:r>
    </w:p>
    <w:p>
      <w:pPr>
        <w:pStyle w:val="Normal"/>
        <w:tabs>
          <w:tab w:val="clear" w:pos="708"/>
          <w:tab w:val="left" w:pos="1260" w:leader="none"/>
          <w:tab w:val="left" w:pos="1980" w:leader="none"/>
          <w:tab w:val="right" w:pos="8931" w:leader="none"/>
          <w:tab w:val="left" w:pos="9214" w:leader="none"/>
        </w:tabs>
        <w:ind w:left="900" w:right="1260" w:firstLine="900"/>
        <w:rPr>
          <w:b/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</w:r>
    </w:p>
    <w:p>
      <w:pPr>
        <w:pStyle w:val="Normal"/>
        <w:tabs>
          <w:tab w:val="clear" w:pos="708"/>
          <w:tab w:val="left" w:pos="1260" w:leader="none"/>
          <w:tab w:val="left" w:pos="1980" w:leader="none"/>
          <w:tab w:val="right" w:pos="8931" w:leader="none"/>
          <w:tab w:val="left" w:pos="9214" w:leader="none"/>
        </w:tabs>
        <w:ind w:left="900" w:right="1260" w:firstLine="900"/>
        <w:rPr>
          <w:b/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</w:r>
    </w:p>
    <w:p>
      <w:pPr>
        <w:pStyle w:val="Normal"/>
        <w:rPr>
          <w:b/>
          <w:b/>
          <w:iCs/>
          <w:color w:val="000000"/>
          <w:szCs w:val="22"/>
        </w:rPr>
      </w:pPr>
      <w:r>
        <w:rPr>
          <w:b/>
          <w:iCs/>
          <w:color w:val="000000"/>
          <w:szCs w:val="22"/>
        </w:rPr>
      </w:r>
    </w:p>
    <w:p>
      <w:pPr>
        <w:pStyle w:val="Normal"/>
        <w:rPr>
          <w:b/>
          <w:b/>
          <w:iCs/>
          <w:color w:val="000000"/>
          <w:szCs w:val="22"/>
        </w:rPr>
      </w:pPr>
      <w:r>
        <w:rPr>
          <w:b/>
          <w:iCs/>
          <w:color w:val="000000"/>
          <w:szCs w:val="22"/>
        </w:rPr>
      </w:r>
    </w:p>
    <w:p>
      <w:pPr>
        <w:pStyle w:val="Normal"/>
        <w:jc w:val="center"/>
        <w:rPr>
          <w:b/>
          <w:b/>
          <w:iCs/>
          <w:szCs w:val="22"/>
        </w:rPr>
      </w:pPr>
      <w:r>
        <w:rPr>
          <w:b/>
          <w:iCs/>
          <w:color w:val="000000"/>
          <w:szCs w:val="22"/>
        </w:rPr>
        <w:t xml:space="preserve">Москва, </w:t>
      </w:r>
      <w:r>
        <w:rPr>
          <w:b/>
          <w:iCs/>
          <w:szCs w:val="22"/>
        </w:rPr>
        <w:t>2023 г.</w:t>
      </w:r>
    </w:p>
    <w:p>
      <w:pPr>
        <w:pStyle w:val="Normal"/>
        <w:ind w:right="-84" w:hanging="0"/>
        <w:jc w:val="center"/>
        <w:rPr>
          <w:b/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  <w:lang w:val="en-US"/>
        </w:rPr>
        <w:t>I</w:t>
      </w:r>
      <w:r>
        <w:rPr>
          <w:b/>
          <w:color w:val="000000"/>
          <w:sz w:val="28"/>
          <w:szCs w:val="28"/>
          <w:u w:val="single"/>
        </w:rPr>
        <w:t>. Вводная часть</w:t>
      </w:r>
    </w:p>
    <w:p>
      <w:pPr>
        <w:pStyle w:val="Normal"/>
        <w:ind w:right="-84" w:hanging="0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ind w:right="-84" w:hanging="0"/>
        <w:jc w:val="both"/>
        <w:rPr/>
      </w:pPr>
      <w:r>
        <w:rPr/>
        <w:t>Настоящее заключение составлено на основании договора №</w:t>
      </w:r>
      <w:r>
        <w:rPr>
          <w:bCs/>
          <w:color w:val="000000" w:themeColor="text1"/>
        </w:rPr>
        <w:t>5806-0223</w:t>
      </w:r>
      <w:r>
        <w:rPr/>
        <w:t xml:space="preserve">, который заключили между собой ООО «Европейский Центр Оценки» и </w:t>
      </w:r>
      <w:r>
        <w:rPr>
          <w:color w:val="000000" w:themeColor="text1"/>
          <w:sz w:val="28"/>
          <w:szCs w:val="28"/>
        </w:rPr>
        <w:t>********</w:t>
      </w:r>
    </w:p>
    <w:p>
      <w:pPr>
        <w:pStyle w:val="Normal"/>
        <w:ind w:right="-84" w:hanging="0"/>
        <w:jc w:val="center"/>
        <w:rPr>
          <w:rFonts w:cs="Arial CYR"/>
          <w:b/>
          <w:b/>
          <w:bCs/>
          <w:color w:val="000000"/>
          <w:sz w:val="20"/>
          <w:szCs w:val="20"/>
        </w:rPr>
      </w:pPr>
      <w:r>
        <w:rPr>
          <w:rFonts w:cs="Arial CYR"/>
          <w:b/>
          <w:bCs/>
          <w:color w:val="000000"/>
          <w:sz w:val="20"/>
          <w:szCs w:val="20"/>
        </w:rPr>
      </w:r>
    </w:p>
    <w:p>
      <w:pPr>
        <w:pStyle w:val="Normal"/>
        <w:ind w:right="-84" w:hanging="0"/>
        <w:jc w:val="center"/>
        <w:rPr>
          <w:b/>
          <w:b/>
          <w:color w:val="000000"/>
        </w:rPr>
      </w:pPr>
      <w:r>
        <w:rPr>
          <w:b/>
          <w:color w:val="000000"/>
        </w:rPr>
        <w:t>Сведения о документах, рассмотренных в процессе экспертизы</w:t>
      </w:r>
    </w:p>
    <w:p>
      <w:pPr>
        <w:pStyle w:val="Normal"/>
        <w:ind w:right="-84" w:hanging="0"/>
        <w:jc w:val="center"/>
        <w:rPr>
          <w:rFonts w:cs="Arial CYR"/>
          <w:b/>
          <w:b/>
          <w:bCs/>
          <w:color w:val="000000"/>
        </w:rPr>
      </w:pPr>
      <w:r>
        <w:rPr>
          <w:rFonts w:cs="Arial CYR"/>
          <w:b/>
          <w:bCs/>
          <w:color w:val="000000"/>
        </w:rPr>
      </w:r>
    </w:p>
    <w:p>
      <w:pPr>
        <w:pStyle w:val="Normal"/>
        <w:numPr>
          <w:ilvl w:val="0"/>
          <w:numId w:val="2"/>
        </w:numPr>
        <w:spacing w:before="120" w:after="0"/>
        <w:jc w:val="both"/>
        <w:rPr/>
      </w:pPr>
      <w:r>
        <w:rPr/>
        <w:t xml:space="preserve">Свидетельство о регистрации ТС </w:t>
      </w:r>
      <w:r>
        <w:rPr>
          <w:color w:val="000000" w:themeColor="text1"/>
          <w:sz w:val="28"/>
          <w:szCs w:val="28"/>
        </w:rPr>
        <w:t>********</w:t>
      </w:r>
      <w:r>
        <w:rPr/>
        <w:t>;</w:t>
      </w:r>
    </w:p>
    <w:p>
      <w:pPr>
        <w:pStyle w:val="Normal"/>
        <w:numPr>
          <w:ilvl w:val="0"/>
          <w:numId w:val="2"/>
        </w:numPr>
        <w:spacing w:before="120" w:after="0"/>
        <w:jc w:val="both"/>
        <w:rPr/>
      </w:pPr>
      <w:r>
        <w:rPr/>
        <w:t>Акт осмотра от 07 февраля 2023г.;</w:t>
      </w:r>
    </w:p>
    <w:p>
      <w:pPr>
        <w:pStyle w:val="Normal"/>
        <w:numPr>
          <w:ilvl w:val="0"/>
          <w:numId w:val="2"/>
        </w:numPr>
        <w:spacing w:before="120" w:after="0"/>
        <w:jc w:val="both"/>
        <w:rPr/>
      </w:pPr>
      <w:r>
        <w:rPr/>
        <w:t>Документ, подтверждающий факт ДТП от 24 января 2023г.</w:t>
      </w:r>
    </w:p>
    <w:p>
      <w:pPr>
        <w:pStyle w:val="Normal"/>
        <w:tabs>
          <w:tab w:val="clear" w:pos="708"/>
          <w:tab w:val="left" w:pos="-1260" w:leader="none"/>
          <w:tab w:val="left" w:pos="-900" w:leader="none"/>
          <w:tab w:val="left" w:pos="240" w:leader="none"/>
          <w:tab w:val="left" w:pos="2640" w:leader="none"/>
          <w:tab w:val="left" w:pos="3600" w:leader="none"/>
          <w:tab w:val="left" w:pos="10260" w:leader="none"/>
        </w:tabs>
        <w:rPr>
          <w:b/>
          <w:b/>
          <w:bCs/>
          <w:color w:val="000000"/>
        </w:rPr>
      </w:pPr>
      <w:r>
        <w:rPr>
          <w:b/>
          <w:bCs/>
          <w:color w:val="000000"/>
        </w:rPr>
      </w:r>
    </w:p>
    <w:p>
      <w:pPr>
        <w:pStyle w:val="Normal"/>
        <w:tabs>
          <w:tab w:val="clear" w:pos="708"/>
          <w:tab w:val="left" w:pos="-1260" w:leader="none"/>
          <w:tab w:val="left" w:pos="-900" w:leader="none"/>
          <w:tab w:val="left" w:pos="240" w:leader="none"/>
          <w:tab w:val="left" w:pos="2640" w:leader="none"/>
          <w:tab w:val="left" w:pos="3600" w:leader="none"/>
          <w:tab w:val="left" w:pos="10260" w:leader="none"/>
        </w:tabs>
        <w:jc w:val="center"/>
        <w:rPr>
          <w:b/>
          <w:b/>
          <w:bCs/>
          <w:color w:val="000000"/>
        </w:rPr>
      </w:pPr>
      <w:r>
        <w:rPr>
          <w:b/>
          <w:bCs/>
          <w:color w:val="000000"/>
        </w:rPr>
        <w:t>Описание объекта экспертизы</w:t>
      </w:r>
    </w:p>
    <w:p>
      <w:pPr>
        <w:pStyle w:val="Normal"/>
        <w:tabs>
          <w:tab w:val="clear" w:pos="708"/>
          <w:tab w:val="left" w:pos="-1260" w:leader="none"/>
          <w:tab w:val="left" w:pos="-900" w:leader="none"/>
          <w:tab w:val="left" w:pos="240" w:leader="none"/>
          <w:tab w:val="left" w:pos="2640" w:leader="none"/>
          <w:tab w:val="left" w:pos="3600" w:leader="none"/>
          <w:tab w:val="left" w:pos="10260" w:leader="none"/>
        </w:tabs>
        <w:rPr>
          <w:b/>
          <w:b/>
          <w:bCs/>
          <w:color w:val="000000"/>
        </w:rPr>
      </w:pPr>
      <w:r>
        <w:rPr>
          <w:b/>
          <w:bCs/>
          <w:color w:val="000000"/>
        </w:rPr>
        <w:t>Таблица 1</w:t>
      </w:r>
    </w:p>
    <w:tbl>
      <w:tblPr>
        <w:tblW w:w="4900" w:type="pct"/>
        <w:jc w:val="left"/>
        <w:tblInd w:w="0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4292"/>
        <w:gridCol w:w="5585"/>
      </w:tblGrid>
      <w:tr>
        <w:trPr>
          <w:trHeight w:val="20" w:hRule="atLeast"/>
          <w:cantSplit w:val="true"/>
        </w:trPr>
        <w:tc>
          <w:tcPr>
            <w:tcW w:w="429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  <w:insideH w:val="double" w:sz="4" w:space="0" w:color="000000"/>
              <w:insideV w:val="doub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  <w:t>Наименование</w:t>
            </w:r>
          </w:p>
        </w:tc>
        <w:tc>
          <w:tcPr>
            <w:tcW w:w="558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  <w:insideH w:val="double" w:sz="4" w:space="0" w:color="000000"/>
              <w:insideV w:val="doub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bCs/>
                <w:color w:val="FF0000"/>
              </w:rPr>
            </w:pPr>
            <w:r>
              <w:rPr>
                <w:lang w:val="en-US"/>
              </w:rPr>
              <w:t>KIA Cerato</w:t>
            </w:r>
          </w:p>
        </w:tc>
      </w:tr>
      <w:tr>
        <w:trPr>
          <w:trHeight w:val="20" w:hRule="atLeast"/>
          <w:cantSplit w:val="true"/>
        </w:trPr>
        <w:tc>
          <w:tcPr>
            <w:tcW w:w="429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  <w:insideH w:val="double" w:sz="4" w:space="0" w:color="000000"/>
              <w:insideV w:val="doub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b/>
                <w:b/>
              </w:rPr>
            </w:pPr>
            <w:r>
              <w:rPr>
                <w:b/>
              </w:rPr>
              <w:t>Категория транспортного средства</w:t>
            </w:r>
          </w:p>
        </w:tc>
        <w:tc>
          <w:tcPr>
            <w:tcW w:w="558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  <w:insideH w:val="double" w:sz="4" w:space="0" w:color="000000"/>
              <w:insideV w:val="doub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B</w:t>
            </w:r>
          </w:p>
        </w:tc>
      </w:tr>
      <w:tr>
        <w:trPr>
          <w:trHeight w:val="20" w:hRule="atLeast"/>
          <w:cantSplit w:val="true"/>
        </w:trPr>
        <w:tc>
          <w:tcPr>
            <w:tcW w:w="429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  <w:insideH w:val="double" w:sz="4" w:space="0" w:color="000000"/>
              <w:insideV w:val="doub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b/>
                <w:b/>
              </w:rPr>
            </w:pPr>
            <w:r>
              <w:rPr>
                <w:b/>
              </w:rPr>
              <w:t>Регистрационный знак</w:t>
            </w:r>
          </w:p>
        </w:tc>
        <w:tc>
          <w:tcPr>
            <w:tcW w:w="558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  <w:insideH w:val="double" w:sz="4" w:space="0" w:color="000000"/>
              <w:insideV w:val="double" w:sz="4" w:space="0" w:color="000000"/>
            </w:tcBorders>
            <w:shd w:fill="auto" w:val="clear"/>
            <w:vAlign w:val="bottom"/>
          </w:tcPr>
          <w:p>
            <w:pPr>
              <w:pStyle w:val="Normal"/>
              <w:tabs>
                <w:tab w:val="clear" w:pos="708"/>
                <w:tab w:val="left" w:pos="4536" w:leader="none"/>
              </w:tabs>
              <w:ind w:right="2160" w:hanging="0"/>
              <w:jc w:val="center"/>
              <w:rPr/>
            </w:pPr>
            <w:r>
              <w:rPr>
                <w:color w:val="000000" w:themeColor="text1"/>
                <w:sz w:val="28"/>
                <w:szCs w:val="28"/>
              </w:rPr>
              <w:t xml:space="preserve">                             </w:t>
            </w:r>
            <w:r>
              <w:rPr>
                <w:color w:val="000000" w:themeColor="text1"/>
                <w:sz w:val="28"/>
                <w:szCs w:val="28"/>
              </w:rPr>
              <w:t>********</w:t>
            </w:r>
          </w:p>
        </w:tc>
      </w:tr>
      <w:tr>
        <w:trPr>
          <w:trHeight w:val="20" w:hRule="atLeast"/>
          <w:cantSplit w:val="true"/>
        </w:trPr>
        <w:tc>
          <w:tcPr>
            <w:tcW w:w="429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  <w:insideH w:val="double" w:sz="4" w:space="0" w:color="000000"/>
              <w:insideV w:val="doub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b/>
                <w:b/>
              </w:rPr>
            </w:pPr>
            <w:r>
              <w:rPr>
                <w:b/>
              </w:rPr>
              <w:t>Идентификационный номер (VIN)</w:t>
            </w:r>
          </w:p>
        </w:tc>
        <w:tc>
          <w:tcPr>
            <w:tcW w:w="558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  <w:insideH w:val="double" w:sz="4" w:space="0" w:color="000000"/>
              <w:insideV w:val="double" w:sz="4" w:space="0" w:color="000000"/>
            </w:tcBorders>
            <w:shd w:fill="auto" w:val="clear"/>
            <w:vAlign w:val="bottom"/>
          </w:tcPr>
          <w:p>
            <w:pPr>
              <w:pStyle w:val="Normal"/>
              <w:tabs>
                <w:tab w:val="clear" w:pos="708"/>
                <w:tab w:val="left" w:pos="4536" w:leader="none"/>
              </w:tabs>
              <w:ind w:right="2160" w:hanging="0"/>
              <w:jc w:val="center"/>
              <w:rPr/>
            </w:pPr>
            <w:r>
              <w:rPr>
                <w:color w:val="000000" w:themeColor="text1"/>
                <w:sz w:val="28"/>
                <w:szCs w:val="28"/>
              </w:rPr>
              <w:t xml:space="preserve">                             </w:t>
            </w:r>
            <w:r>
              <w:rPr>
                <w:color w:val="000000" w:themeColor="text1"/>
                <w:sz w:val="28"/>
                <w:szCs w:val="28"/>
              </w:rPr>
              <w:t>********</w:t>
            </w:r>
          </w:p>
        </w:tc>
      </w:tr>
      <w:tr>
        <w:trPr>
          <w:trHeight w:val="20" w:hRule="atLeast"/>
          <w:cantSplit w:val="true"/>
        </w:trPr>
        <w:tc>
          <w:tcPr>
            <w:tcW w:w="429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  <w:insideH w:val="double" w:sz="4" w:space="0" w:color="000000"/>
              <w:insideV w:val="doub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b/>
                <w:b/>
              </w:rPr>
            </w:pPr>
            <w:r>
              <w:rPr>
                <w:b/>
              </w:rPr>
              <w:t>Год выпуска (дата выпуска)</w:t>
            </w:r>
          </w:p>
        </w:tc>
        <w:tc>
          <w:tcPr>
            <w:tcW w:w="558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  <w:insideH w:val="double" w:sz="4" w:space="0" w:color="000000"/>
              <w:insideV w:val="doub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2020г. (13.01.2020г.*)</w:t>
            </w:r>
          </w:p>
        </w:tc>
      </w:tr>
      <w:tr>
        <w:trPr>
          <w:trHeight w:val="20" w:hRule="atLeast"/>
          <w:cantSplit w:val="true"/>
        </w:trPr>
        <w:tc>
          <w:tcPr>
            <w:tcW w:w="429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  <w:insideH w:val="double" w:sz="4" w:space="0" w:color="000000"/>
              <w:insideV w:val="doub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b/>
                <w:b/>
              </w:rPr>
            </w:pPr>
            <w:r>
              <w:rPr>
                <w:b/>
              </w:rPr>
              <w:t>Шасси (рама)</w:t>
            </w:r>
          </w:p>
        </w:tc>
        <w:tc>
          <w:tcPr>
            <w:tcW w:w="558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  <w:insideH w:val="double" w:sz="4" w:space="0" w:color="000000"/>
              <w:insideV w:val="doub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Отсут.</w:t>
            </w:r>
          </w:p>
        </w:tc>
      </w:tr>
      <w:tr>
        <w:trPr>
          <w:trHeight w:val="20" w:hRule="atLeast"/>
          <w:cantSplit w:val="true"/>
        </w:trPr>
        <w:tc>
          <w:tcPr>
            <w:tcW w:w="429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  <w:insideH w:val="double" w:sz="4" w:space="0" w:color="000000"/>
              <w:insideV w:val="doub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b/>
                <w:b/>
              </w:rPr>
            </w:pPr>
            <w:r>
              <w:rPr>
                <w:b/>
              </w:rPr>
              <w:t>Кузов №</w:t>
            </w:r>
          </w:p>
        </w:tc>
        <w:tc>
          <w:tcPr>
            <w:tcW w:w="558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  <w:insideH w:val="double" w:sz="4" w:space="0" w:color="000000"/>
              <w:insideV w:val="doub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 w:themeColor="text1"/>
                <w:sz w:val="28"/>
                <w:szCs w:val="28"/>
                <w:lang w:val="en-US"/>
              </w:rPr>
              <w:t>********</w:t>
            </w:r>
            <w:r>
              <w:rPr>
                <w:color w:val="000000" w:themeColor="text1"/>
              </w:rPr>
              <w:t xml:space="preserve"> </w:t>
            </w:r>
          </w:p>
        </w:tc>
      </w:tr>
      <w:tr>
        <w:trPr>
          <w:trHeight w:val="20" w:hRule="atLeast"/>
          <w:cantSplit w:val="true"/>
        </w:trPr>
        <w:tc>
          <w:tcPr>
            <w:tcW w:w="429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  <w:insideH w:val="double" w:sz="4" w:space="0" w:color="000000"/>
              <w:insideV w:val="doub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b/>
                <w:b/>
              </w:rPr>
            </w:pPr>
            <w:r>
              <w:rPr>
                <w:b/>
              </w:rPr>
              <w:t>Цвет кузова (кабины)</w:t>
            </w:r>
          </w:p>
        </w:tc>
        <w:tc>
          <w:tcPr>
            <w:tcW w:w="558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  <w:insideH w:val="double" w:sz="4" w:space="0" w:color="000000"/>
              <w:insideV w:val="doub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Красный Перламутр</w:t>
            </w:r>
          </w:p>
        </w:tc>
      </w:tr>
      <w:tr>
        <w:trPr>
          <w:trHeight w:val="20" w:hRule="atLeast"/>
          <w:cantSplit w:val="true"/>
        </w:trPr>
        <w:tc>
          <w:tcPr>
            <w:tcW w:w="429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  <w:insideH w:val="double" w:sz="4" w:space="0" w:color="000000"/>
              <w:insideV w:val="doub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b/>
                <w:b/>
              </w:rPr>
            </w:pPr>
            <w:r>
              <w:rPr>
                <w:b/>
              </w:rPr>
              <w:t xml:space="preserve">Мощность двигателя л.с,  </w:t>
            </w:r>
          </w:p>
        </w:tc>
        <w:tc>
          <w:tcPr>
            <w:tcW w:w="558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  <w:insideH w:val="double" w:sz="4" w:space="0" w:color="000000"/>
              <w:insideV w:val="doub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 w:themeColor="text1"/>
              </w:rPr>
            </w:pPr>
            <w:r>
              <w:rPr/>
              <w:t>150</w:t>
            </w:r>
          </w:p>
        </w:tc>
      </w:tr>
      <w:tr>
        <w:trPr>
          <w:trHeight w:val="20" w:hRule="atLeast"/>
          <w:cantSplit w:val="true"/>
        </w:trPr>
        <w:tc>
          <w:tcPr>
            <w:tcW w:w="429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  <w:insideH w:val="double" w:sz="4" w:space="0" w:color="000000"/>
              <w:insideV w:val="doub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b/>
                <w:b/>
              </w:rPr>
            </w:pPr>
            <w:r>
              <w:rPr>
                <w:b/>
              </w:rPr>
              <w:t>Пробег, км</w:t>
            </w:r>
          </w:p>
        </w:tc>
        <w:tc>
          <w:tcPr>
            <w:tcW w:w="558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  <w:insideH w:val="double" w:sz="4" w:space="0" w:color="000000"/>
              <w:insideV w:val="doub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58072</w:t>
            </w:r>
          </w:p>
        </w:tc>
      </w:tr>
    </w:tbl>
    <w:p>
      <w:pPr>
        <w:pStyle w:val="Normal"/>
        <w:spacing w:before="120" w:after="0"/>
        <w:ind w:firstLine="709"/>
        <w:jc w:val="both"/>
        <w:rPr/>
      </w:pPr>
      <w:r>
        <w:rPr/>
      </w:r>
    </w:p>
    <w:p>
      <w:pPr>
        <w:pStyle w:val="Normal"/>
        <w:jc w:val="center"/>
        <w:rPr>
          <w:b/>
          <w:b/>
          <w:iCs/>
          <w:color w:val="000000"/>
        </w:rPr>
      </w:pPr>
      <w:r>
        <w:rPr/>
      </w:r>
    </w:p>
    <w:p>
      <w:pPr>
        <w:pStyle w:val="Normal"/>
        <w:jc w:val="center"/>
        <w:rPr>
          <w:b/>
          <w:b/>
          <w:iCs/>
          <w:color w:val="000000"/>
        </w:rPr>
      </w:pPr>
      <w:r>
        <w:rPr>
          <w:b/>
          <w:iCs/>
          <w:color w:val="000000"/>
        </w:rPr>
        <w:t>Сведения об организации</w:t>
      </w:r>
    </w:p>
    <w:p>
      <w:pPr>
        <w:pStyle w:val="Normal"/>
        <w:rPr>
          <w:b/>
          <w:b/>
          <w:iCs/>
          <w:color w:val="000000"/>
        </w:rPr>
      </w:pPr>
      <w:r>
        <w:rPr>
          <w:b/>
          <w:iCs/>
          <w:color w:val="000000"/>
        </w:rPr>
        <w:t xml:space="preserve"> </w:t>
      </w:r>
      <w:r>
        <w:rPr>
          <w:b/>
          <w:iCs/>
          <w:color w:val="000000"/>
        </w:rPr>
        <w:t>Таблица 2</w:t>
      </w:r>
    </w:p>
    <w:tbl>
      <w:tblPr>
        <w:tblW w:w="10456" w:type="dxa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10456"/>
      </w:tblGrid>
      <w:tr>
        <w:trPr>
          <w:trHeight w:val="1430" w:hRule="atLeast"/>
        </w:trPr>
        <w:tc>
          <w:tcPr>
            <w:tcW w:w="10456" w:type="dxa"/>
            <w:tcBorders/>
            <w:shd w:fill="auto" w:val="clear"/>
          </w:tcPr>
          <w:tbl>
            <w:tblPr>
              <w:tblW w:w="4900" w:type="pct"/>
              <w:jc w:val="left"/>
              <w:tblInd w:w="0" w:type="dxa"/>
              <w:tblBorders>
                <w:top w:val="double" w:sz="4" w:space="0" w:color="000000"/>
                <w:left w:val="double" w:sz="4" w:space="0" w:color="000000"/>
                <w:bottom w:val="double" w:sz="4" w:space="0" w:color="000000"/>
                <w:right w:val="double" w:sz="4" w:space="0" w:color="000000"/>
                <w:insideH w:val="double" w:sz="4" w:space="0" w:color="000000"/>
                <w:insideV w:val="double" w:sz="4" w:space="0" w:color="000000"/>
              </w:tblBorders>
              <w:tblCellMar>
                <w:top w:w="0" w:type="dxa"/>
                <w:left w:w="108" w:type="dxa"/>
                <w:bottom w:w="0" w:type="dxa"/>
                <w:right w:w="108" w:type="dxa"/>
              </w:tblCellMar>
              <w:tblLook w:val="01e0" w:noVBand="0" w:noHBand="0" w:lastColumn="1" w:firstColumn="1" w:lastRow="1" w:firstRow="1"/>
            </w:tblPr>
            <w:tblGrid>
              <w:gridCol w:w="2617"/>
              <w:gridCol w:w="7417"/>
            </w:tblGrid>
            <w:tr>
              <w:trPr/>
              <w:tc>
                <w:tcPr>
                  <w:tcW w:w="2617" w:type="dxa"/>
                  <w:tcBorders>
                    <w:top w:val="double" w:sz="4" w:space="0" w:color="000000"/>
                    <w:left w:val="double" w:sz="4" w:space="0" w:color="000000"/>
                    <w:bottom w:val="double" w:sz="4" w:space="0" w:color="000000"/>
                    <w:right w:val="double" w:sz="4" w:space="0" w:color="000000"/>
                    <w:insideH w:val="double" w:sz="4" w:space="0" w:color="000000"/>
                    <w:insideV w:val="double" w:sz="4" w:space="0" w:color="000000"/>
                  </w:tcBorders>
                  <w:shd w:fill="auto" w:val="clear"/>
                  <w:vAlign w:val="center"/>
                </w:tcPr>
                <w:p>
                  <w:pPr>
                    <w:pStyle w:val="Style24"/>
                    <w:spacing w:lineRule="atLeast" w:line="240" w:before="0" w:after="0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Наименование организации:</w:t>
                  </w:r>
                </w:p>
              </w:tc>
              <w:tc>
                <w:tcPr>
                  <w:tcW w:w="7417" w:type="dxa"/>
                  <w:tcBorders>
                    <w:top w:val="double" w:sz="4" w:space="0" w:color="000000"/>
                    <w:left w:val="double" w:sz="4" w:space="0" w:color="000000"/>
                    <w:bottom w:val="double" w:sz="4" w:space="0" w:color="000000"/>
                    <w:right w:val="double" w:sz="4" w:space="0" w:color="000000"/>
                    <w:insideH w:val="double" w:sz="4" w:space="0" w:color="000000"/>
                    <w:insideV w:val="double" w:sz="4" w:space="0" w:color="000000"/>
                  </w:tcBorders>
                  <w:shd w:fill="auto" w:val="clear"/>
                  <w:vAlign w:val="center"/>
                </w:tcPr>
                <w:p>
                  <w:pPr>
                    <w:pStyle w:val="Style24"/>
                    <w:spacing w:lineRule="atLeast" w:line="240" w:before="0"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ООО «Европейский Центр Оценки»</w:t>
                  </w:r>
                </w:p>
              </w:tc>
            </w:tr>
            <w:tr>
              <w:trPr/>
              <w:tc>
                <w:tcPr>
                  <w:tcW w:w="2617" w:type="dxa"/>
                  <w:tcBorders>
                    <w:top w:val="double" w:sz="4" w:space="0" w:color="000000"/>
                    <w:left w:val="double" w:sz="4" w:space="0" w:color="000000"/>
                    <w:bottom w:val="double" w:sz="4" w:space="0" w:color="000000"/>
                    <w:right w:val="double" w:sz="4" w:space="0" w:color="000000"/>
                    <w:insideH w:val="double" w:sz="4" w:space="0" w:color="000000"/>
                    <w:insideV w:val="double" w:sz="4" w:space="0" w:color="000000"/>
                  </w:tcBorders>
                  <w:shd w:fill="auto" w:val="clear"/>
                  <w:vAlign w:val="center"/>
                </w:tcPr>
                <w:p>
                  <w:pPr>
                    <w:pStyle w:val="Style24"/>
                    <w:spacing w:lineRule="atLeast" w:line="240" w:before="0" w:after="0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ОГРН: </w:t>
                  </w:r>
                </w:p>
              </w:tc>
              <w:tc>
                <w:tcPr>
                  <w:tcW w:w="7417" w:type="dxa"/>
                  <w:tcBorders>
                    <w:top w:val="double" w:sz="4" w:space="0" w:color="000000"/>
                    <w:left w:val="double" w:sz="4" w:space="0" w:color="000000"/>
                    <w:bottom w:val="double" w:sz="4" w:space="0" w:color="000000"/>
                    <w:right w:val="double" w:sz="4" w:space="0" w:color="000000"/>
                    <w:insideH w:val="double" w:sz="4" w:space="0" w:color="000000"/>
                    <w:insideV w:val="double" w:sz="4" w:space="0" w:color="000000"/>
                  </w:tcBorders>
                  <w:shd w:fill="auto" w:val="clear"/>
                  <w:vAlign w:val="center"/>
                </w:tcPr>
                <w:p>
                  <w:pPr>
                    <w:pStyle w:val="Style24"/>
                    <w:spacing w:lineRule="atLeast" w:line="240" w:before="0"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1127747107553</w:t>
                  </w:r>
                </w:p>
              </w:tc>
            </w:tr>
            <w:tr>
              <w:trPr/>
              <w:tc>
                <w:tcPr>
                  <w:tcW w:w="2617" w:type="dxa"/>
                  <w:tcBorders>
                    <w:top w:val="double" w:sz="4" w:space="0" w:color="000000"/>
                    <w:left w:val="double" w:sz="4" w:space="0" w:color="000000"/>
                    <w:bottom w:val="double" w:sz="4" w:space="0" w:color="000000"/>
                    <w:right w:val="double" w:sz="4" w:space="0" w:color="000000"/>
                    <w:insideH w:val="double" w:sz="4" w:space="0" w:color="000000"/>
                    <w:insideV w:val="double" w:sz="4" w:space="0" w:color="000000"/>
                  </w:tcBorders>
                  <w:shd w:fill="auto" w:val="clear"/>
                  <w:vAlign w:val="center"/>
                </w:tcPr>
                <w:p>
                  <w:pPr>
                    <w:pStyle w:val="Style24"/>
                    <w:spacing w:lineRule="atLeast" w:line="240" w:before="0" w:after="0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ИНН / КПП:</w:t>
                  </w:r>
                </w:p>
              </w:tc>
              <w:tc>
                <w:tcPr>
                  <w:tcW w:w="7417" w:type="dxa"/>
                  <w:tcBorders>
                    <w:top w:val="double" w:sz="4" w:space="0" w:color="000000"/>
                    <w:left w:val="double" w:sz="4" w:space="0" w:color="000000"/>
                    <w:bottom w:val="double" w:sz="4" w:space="0" w:color="000000"/>
                    <w:right w:val="double" w:sz="4" w:space="0" w:color="000000"/>
                    <w:insideH w:val="double" w:sz="4" w:space="0" w:color="000000"/>
                    <w:insideV w:val="double" w:sz="4" w:space="0" w:color="000000"/>
                  </w:tcBorders>
                  <w:shd w:fill="auto" w:val="clear"/>
                  <w:vAlign w:val="center"/>
                </w:tcPr>
                <w:p>
                  <w:pPr>
                    <w:pStyle w:val="Style24"/>
                    <w:spacing w:lineRule="atLeast" w:line="240" w:before="0"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7709915321 / 772501001 </w:t>
                  </w:r>
                </w:p>
              </w:tc>
            </w:tr>
            <w:tr>
              <w:trPr/>
              <w:tc>
                <w:tcPr>
                  <w:tcW w:w="2617" w:type="dxa"/>
                  <w:tcBorders>
                    <w:top w:val="double" w:sz="4" w:space="0" w:color="000000"/>
                    <w:left w:val="double" w:sz="4" w:space="0" w:color="000000"/>
                    <w:bottom w:val="double" w:sz="4" w:space="0" w:color="000000"/>
                    <w:right w:val="double" w:sz="4" w:space="0" w:color="000000"/>
                    <w:insideH w:val="double" w:sz="4" w:space="0" w:color="000000"/>
                    <w:insideV w:val="double" w:sz="4" w:space="0" w:color="000000"/>
                  </w:tcBorders>
                  <w:shd w:fill="auto" w:val="clear"/>
                  <w:vAlign w:val="center"/>
                </w:tcPr>
                <w:p>
                  <w:pPr>
                    <w:pStyle w:val="Style24"/>
                    <w:spacing w:lineRule="atLeast" w:line="240" w:before="0" w:after="0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Юридический адрес:</w:t>
                  </w:r>
                </w:p>
              </w:tc>
              <w:tc>
                <w:tcPr>
                  <w:tcW w:w="7417" w:type="dxa"/>
                  <w:tcBorders>
                    <w:top w:val="double" w:sz="4" w:space="0" w:color="000000"/>
                    <w:left w:val="double" w:sz="4" w:space="0" w:color="000000"/>
                    <w:bottom w:val="double" w:sz="4" w:space="0" w:color="000000"/>
                    <w:right w:val="double" w:sz="4" w:space="0" w:color="000000"/>
                    <w:insideH w:val="double" w:sz="4" w:space="0" w:color="000000"/>
                    <w:insideV w:val="double" w:sz="4" w:space="0" w:color="000000"/>
                  </w:tcBorders>
                  <w:shd w:fill="auto" w:val="clear"/>
                  <w:vAlign w:val="center"/>
                </w:tcPr>
                <w:p>
                  <w:pPr>
                    <w:pStyle w:val="Style24"/>
                    <w:spacing w:lineRule="atLeast" w:line="240" w:before="0"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г. Москва, ул. Ленинская Слобода, д.19, эт. 6/3К, комн. 3Л</w:t>
                  </w:r>
                </w:p>
              </w:tc>
            </w:tr>
            <w:tr>
              <w:trPr/>
              <w:tc>
                <w:tcPr>
                  <w:tcW w:w="2617" w:type="dxa"/>
                  <w:tcBorders>
                    <w:top w:val="double" w:sz="4" w:space="0" w:color="000000"/>
                    <w:left w:val="double" w:sz="4" w:space="0" w:color="000000"/>
                    <w:bottom w:val="double" w:sz="4" w:space="0" w:color="000000"/>
                    <w:right w:val="double" w:sz="4" w:space="0" w:color="000000"/>
                    <w:insideH w:val="double" w:sz="4" w:space="0" w:color="000000"/>
                    <w:insideV w:val="double" w:sz="4" w:space="0" w:color="000000"/>
                  </w:tcBorders>
                  <w:shd w:fill="auto" w:val="clear"/>
                  <w:vAlign w:val="center"/>
                </w:tcPr>
                <w:p>
                  <w:pPr>
                    <w:pStyle w:val="Style24"/>
                    <w:spacing w:lineRule="atLeast" w:line="240" w:before="0" w:after="0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Фактический адрес:</w:t>
                  </w:r>
                </w:p>
              </w:tc>
              <w:tc>
                <w:tcPr>
                  <w:tcW w:w="7417" w:type="dxa"/>
                  <w:tcBorders>
                    <w:top w:val="double" w:sz="4" w:space="0" w:color="000000"/>
                    <w:left w:val="double" w:sz="4" w:space="0" w:color="000000"/>
                    <w:bottom w:val="double" w:sz="4" w:space="0" w:color="000000"/>
                    <w:right w:val="double" w:sz="4" w:space="0" w:color="000000"/>
                    <w:insideH w:val="double" w:sz="4" w:space="0" w:color="000000"/>
                    <w:insideV w:val="double" w:sz="4" w:space="0" w:color="000000"/>
                  </w:tcBorders>
                  <w:shd w:fill="auto" w:val="clear"/>
                  <w:vAlign w:val="center"/>
                </w:tcPr>
                <w:p>
                  <w:pPr>
                    <w:pStyle w:val="Style24"/>
                    <w:spacing w:lineRule="atLeast" w:line="240" w:before="0"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г. Москва, ул. Ленинская Слобода, д. 19</w:t>
                  </w:r>
                </w:p>
              </w:tc>
            </w:tr>
            <w:tr>
              <w:trPr/>
              <w:tc>
                <w:tcPr>
                  <w:tcW w:w="2617" w:type="dxa"/>
                  <w:tcBorders>
                    <w:top w:val="double" w:sz="4" w:space="0" w:color="000000"/>
                    <w:left w:val="double" w:sz="4" w:space="0" w:color="000000"/>
                    <w:bottom w:val="double" w:sz="4" w:space="0" w:color="000000"/>
                    <w:right w:val="double" w:sz="4" w:space="0" w:color="000000"/>
                    <w:insideH w:val="double" w:sz="4" w:space="0" w:color="000000"/>
                    <w:insideV w:val="double" w:sz="4" w:space="0" w:color="000000"/>
                  </w:tcBorders>
                  <w:shd w:fill="auto" w:val="clear"/>
                  <w:vAlign w:val="center"/>
                </w:tcPr>
                <w:p>
                  <w:pPr>
                    <w:pStyle w:val="Style24"/>
                    <w:spacing w:lineRule="atLeast" w:line="240" w:before="0" w:after="0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Расчетный счет:</w:t>
                  </w:r>
                </w:p>
              </w:tc>
              <w:tc>
                <w:tcPr>
                  <w:tcW w:w="7417" w:type="dxa"/>
                  <w:tcBorders>
                    <w:top w:val="double" w:sz="4" w:space="0" w:color="000000"/>
                    <w:left w:val="double" w:sz="4" w:space="0" w:color="000000"/>
                    <w:bottom w:val="double" w:sz="4" w:space="0" w:color="000000"/>
                    <w:right w:val="double" w:sz="4" w:space="0" w:color="000000"/>
                    <w:insideH w:val="double" w:sz="4" w:space="0" w:color="000000"/>
                    <w:insideV w:val="double" w:sz="4" w:space="0" w:color="000000"/>
                  </w:tcBorders>
                  <w:shd w:fill="auto" w:val="clear"/>
                  <w:vAlign w:val="center"/>
                </w:tcPr>
                <w:p>
                  <w:pPr>
                    <w:pStyle w:val="Style24"/>
                    <w:spacing w:lineRule="atLeast" w:line="240" w:before="0"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40702810338120007911</w:t>
                  </w:r>
                </w:p>
              </w:tc>
            </w:tr>
            <w:tr>
              <w:trPr/>
              <w:tc>
                <w:tcPr>
                  <w:tcW w:w="2617" w:type="dxa"/>
                  <w:tcBorders>
                    <w:top w:val="double" w:sz="4" w:space="0" w:color="000000"/>
                    <w:left w:val="double" w:sz="4" w:space="0" w:color="000000"/>
                    <w:bottom w:val="double" w:sz="4" w:space="0" w:color="000000"/>
                    <w:right w:val="double" w:sz="4" w:space="0" w:color="000000"/>
                    <w:insideH w:val="double" w:sz="4" w:space="0" w:color="000000"/>
                    <w:insideV w:val="double" w:sz="4" w:space="0" w:color="000000"/>
                  </w:tcBorders>
                  <w:shd w:fill="auto" w:val="clear"/>
                  <w:vAlign w:val="center"/>
                </w:tcPr>
                <w:p>
                  <w:pPr>
                    <w:pStyle w:val="Style24"/>
                    <w:spacing w:lineRule="atLeast" w:line="240" w:before="0" w:after="0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E</w:t>
                  </w:r>
                  <w:r>
                    <w:rPr>
                      <w:sz w:val="24"/>
                      <w:szCs w:val="24"/>
                    </w:rPr>
                    <w:t>-</w:t>
                  </w:r>
                  <w:r>
                    <w:rPr>
                      <w:sz w:val="24"/>
                      <w:szCs w:val="24"/>
                      <w:lang w:val="en-US"/>
                    </w:rPr>
                    <w:t>mail</w:t>
                  </w:r>
                  <w:r>
                    <w:rPr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7417" w:type="dxa"/>
                  <w:tcBorders>
                    <w:top w:val="double" w:sz="4" w:space="0" w:color="000000"/>
                    <w:left w:val="double" w:sz="4" w:space="0" w:color="000000"/>
                    <w:bottom w:val="double" w:sz="4" w:space="0" w:color="000000"/>
                    <w:right w:val="double" w:sz="4" w:space="0" w:color="000000"/>
                    <w:insideH w:val="double" w:sz="4" w:space="0" w:color="000000"/>
                    <w:insideV w:val="double" w:sz="4" w:space="0" w:color="000000"/>
                  </w:tcBorders>
                  <w:shd w:fill="auto" w:val="clear"/>
                  <w:vAlign w:val="center"/>
                </w:tcPr>
                <w:p>
                  <w:pPr>
                    <w:pStyle w:val="Normal"/>
                    <w:spacing w:lineRule="atLeast" w:line="240"/>
                    <w:rPr/>
                  </w:pPr>
                  <w:r>
                    <w:rPr>
                      <w:lang w:val="en-US"/>
                    </w:rPr>
                    <w:t>euro</w:t>
                  </w:r>
                  <w:r>
                    <w:rPr/>
                    <w:t>.</w:t>
                  </w:r>
                  <w:r>
                    <w:rPr>
                      <w:lang w:val="en-US"/>
                    </w:rPr>
                    <w:t>otsenka</w:t>
                  </w:r>
                  <w:r>
                    <w:rPr/>
                    <w:t>@</w:t>
                  </w:r>
                  <w:r>
                    <w:rPr>
                      <w:lang w:val="en-US"/>
                    </w:rPr>
                    <w:t>gmail</w:t>
                  </w:r>
                  <w:r>
                    <w:rPr/>
                    <w:t>.</w:t>
                  </w:r>
                  <w:r>
                    <w:rPr>
                      <w:lang w:val="en-US"/>
                    </w:rPr>
                    <w:t>com</w:t>
                  </w:r>
                </w:p>
              </w:tc>
            </w:tr>
            <w:tr>
              <w:trPr/>
              <w:tc>
                <w:tcPr>
                  <w:tcW w:w="2617" w:type="dxa"/>
                  <w:tcBorders>
                    <w:top w:val="double" w:sz="4" w:space="0" w:color="000000"/>
                    <w:left w:val="double" w:sz="4" w:space="0" w:color="000000"/>
                    <w:bottom w:val="double" w:sz="4" w:space="0" w:color="000000"/>
                    <w:right w:val="double" w:sz="4" w:space="0" w:color="000000"/>
                    <w:insideH w:val="double" w:sz="4" w:space="0" w:color="000000"/>
                    <w:insideV w:val="double" w:sz="4" w:space="0" w:color="000000"/>
                  </w:tcBorders>
                  <w:shd w:fill="auto" w:val="clear"/>
                  <w:vAlign w:val="center"/>
                </w:tcPr>
                <w:p>
                  <w:pPr>
                    <w:pStyle w:val="Style24"/>
                    <w:spacing w:lineRule="atLeast" w:line="240" w:before="0" w:after="0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Телефон:</w:t>
                  </w:r>
                </w:p>
              </w:tc>
              <w:tc>
                <w:tcPr>
                  <w:tcW w:w="7417" w:type="dxa"/>
                  <w:tcBorders>
                    <w:top w:val="double" w:sz="4" w:space="0" w:color="000000"/>
                    <w:left w:val="double" w:sz="4" w:space="0" w:color="000000"/>
                    <w:bottom w:val="double" w:sz="4" w:space="0" w:color="000000"/>
                    <w:right w:val="double" w:sz="4" w:space="0" w:color="000000"/>
                    <w:insideH w:val="double" w:sz="4" w:space="0" w:color="000000"/>
                    <w:insideV w:val="double" w:sz="4" w:space="0" w:color="000000"/>
                  </w:tcBorders>
                  <w:shd w:fill="auto" w:val="clear"/>
                  <w:vAlign w:val="center"/>
                </w:tcPr>
                <w:p>
                  <w:pPr>
                    <w:pStyle w:val="Normal"/>
                    <w:spacing w:lineRule="atLeast" w:line="240"/>
                    <w:rPr/>
                  </w:pPr>
                  <w:r>
                    <w:rPr/>
                    <w:t>+7 (495) 795 16 50</w:t>
                  </w:r>
                  <w:bookmarkStart w:id="2" w:name="_Toc531671545"/>
                  <w:bookmarkStart w:id="3" w:name="_Toc531670312"/>
                  <w:bookmarkStart w:id="4" w:name="_Toc531600367"/>
                  <w:bookmarkStart w:id="5" w:name="_Toc531598670"/>
                  <w:bookmarkStart w:id="6" w:name="_Toc518277818"/>
                  <w:bookmarkStart w:id="7" w:name="_Toc516394106"/>
                  <w:bookmarkStart w:id="8" w:name="_Toc509295671"/>
                  <w:bookmarkStart w:id="9" w:name="_Toc506625432"/>
                  <w:bookmarkStart w:id="10" w:name="_Toc506625289"/>
                  <w:bookmarkStart w:id="11" w:name="_Toc506625225"/>
                  <w:bookmarkStart w:id="12" w:name="_Toc505507303"/>
                  <w:bookmarkStart w:id="13" w:name="_Toc496508130"/>
                  <w:bookmarkStart w:id="14" w:name="_Toc493335594"/>
                  <w:bookmarkStart w:id="15" w:name="_Toc489852950"/>
                  <w:bookmarkEnd w:id="2"/>
                  <w:bookmarkEnd w:id="3"/>
                  <w:bookmarkEnd w:id="4"/>
                  <w:bookmarkEnd w:id="5"/>
                  <w:bookmarkEnd w:id="6"/>
                  <w:bookmarkEnd w:id="7"/>
                  <w:bookmarkEnd w:id="8"/>
                  <w:bookmarkEnd w:id="9"/>
                  <w:bookmarkEnd w:id="10"/>
                  <w:bookmarkEnd w:id="11"/>
                  <w:bookmarkEnd w:id="12"/>
                  <w:bookmarkEnd w:id="13"/>
                  <w:bookmarkEnd w:id="14"/>
                  <w:bookmarkEnd w:id="15"/>
                </w:p>
              </w:tc>
            </w:tr>
          </w:tbl>
          <w:p>
            <w:pPr>
              <w:pStyle w:val="Normal"/>
              <w:ind w:right="175" w:hanging="0"/>
              <w:jc w:val="right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Normal"/>
              <w:jc w:val="center"/>
              <w:rPr>
                <w:b/>
                <w:b/>
                <w:iCs/>
                <w:color w:val="000000"/>
              </w:rPr>
            </w:pPr>
            <w:r>
              <w:rPr/>
            </w:r>
          </w:p>
          <w:p>
            <w:pPr>
              <w:pStyle w:val="Normal"/>
              <w:jc w:val="center"/>
              <w:rPr>
                <w:b/>
                <w:b/>
                <w:iCs/>
                <w:color w:val="000000"/>
              </w:rPr>
            </w:pPr>
            <w:r>
              <w:rPr/>
            </w:r>
          </w:p>
          <w:p>
            <w:pPr>
              <w:pStyle w:val="Normal"/>
              <w:jc w:val="center"/>
              <w:rPr>
                <w:b/>
                <w:b/>
                <w:iCs/>
                <w:color w:val="000000"/>
              </w:rPr>
            </w:pPr>
            <w:r>
              <w:rPr/>
            </w:r>
          </w:p>
          <w:p>
            <w:pPr>
              <w:pStyle w:val="Normal"/>
              <w:jc w:val="center"/>
              <w:rPr>
                <w:b/>
                <w:b/>
                <w:iCs/>
                <w:color w:val="000000"/>
              </w:rPr>
            </w:pPr>
            <w:r>
              <w:rPr/>
            </w:r>
          </w:p>
          <w:p>
            <w:pPr>
              <w:pStyle w:val="Normal"/>
              <w:jc w:val="center"/>
              <w:rPr>
                <w:b/>
                <w:b/>
                <w:iCs/>
                <w:color w:val="000000"/>
              </w:rPr>
            </w:pPr>
            <w:r>
              <w:rPr/>
            </w:r>
          </w:p>
          <w:p>
            <w:pPr>
              <w:pStyle w:val="Normal"/>
              <w:jc w:val="center"/>
              <w:rPr>
                <w:b/>
                <w:b/>
                <w:iCs/>
                <w:color w:val="000000"/>
              </w:rPr>
            </w:pPr>
            <w:r>
              <w:rPr/>
            </w:r>
          </w:p>
          <w:p>
            <w:pPr>
              <w:pStyle w:val="Normal"/>
              <w:jc w:val="center"/>
              <w:rPr>
                <w:b/>
                <w:b/>
                <w:iCs/>
                <w:color w:val="000000"/>
              </w:rPr>
            </w:pPr>
            <w:r>
              <w:rPr/>
            </w:r>
          </w:p>
          <w:p>
            <w:pPr>
              <w:pStyle w:val="Normal"/>
              <w:jc w:val="center"/>
              <w:rPr>
                <w:b/>
                <w:b/>
                <w:iCs/>
                <w:color w:val="000000"/>
              </w:rPr>
            </w:pPr>
            <w:r>
              <w:rPr>
                <w:b/>
                <w:iCs/>
                <w:color w:val="000000"/>
              </w:rPr>
              <w:t>Сведения о специалистах</w:t>
            </w:r>
          </w:p>
          <w:p>
            <w:pPr>
              <w:pStyle w:val="Normal"/>
              <w:ind w:right="175" w:hanging="0"/>
              <w:rPr>
                <w:b/>
                <w:b/>
                <w:color w:val="000000"/>
              </w:rPr>
            </w:pPr>
            <w:r>
              <w:rPr>
                <w:b/>
                <w:color w:val="000000"/>
              </w:rPr>
              <w:t>Таблица 3</w:t>
            </w:r>
          </w:p>
          <w:tbl>
            <w:tblPr>
              <w:tblW w:w="9940" w:type="dxa"/>
              <w:jc w:val="left"/>
              <w:tblInd w:w="0" w:type="dxa"/>
              <w:tblBorders>
                <w:top w:val="double" w:sz="4" w:space="0" w:color="000000"/>
                <w:left w:val="double" w:sz="4" w:space="0" w:color="000000"/>
                <w:bottom w:val="double" w:sz="4" w:space="0" w:color="000000"/>
                <w:right w:val="double" w:sz="4" w:space="0" w:color="000000"/>
                <w:insideH w:val="double" w:sz="4" w:space="0" w:color="000000"/>
                <w:insideV w:val="double" w:sz="4" w:space="0" w:color="000000"/>
              </w:tblBorders>
              <w:tblCellMar>
                <w:top w:w="0" w:type="dxa"/>
                <w:left w:w="108" w:type="dxa"/>
                <w:bottom w:w="0" w:type="dxa"/>
                <w:right w:w="108" w:type="dxa"/>
              </w:tblCellMar>
              <w:tblLook w:val="0000" w:noVBand="0" w:noHBand="0" w:lastColumn="0" w:firstColumn="0" w:lastRow="0" w:firstRow="0"/>
            </w:tblPr>
            <w:tblGrid>
              <w:gridCol w:w="3543"/>
              <w:gridCol w:w="15"/>
              <w:gridCol w:w="6381"/>
            </w:tblGrid>
            <w:tr>
              <w:trPr>
                <w:trHeight w:val="390" w:hRule="atLeast"/>
              </w:trPr>
              <w:tc>
                <w:tcPr>
                  <w:tcW w:w="3543" w:type="dxa"/>
                  <w:tcBorders>
                    <w:top w:val="double" w:sz="4" w:space="0" w:color="000000"/>
                    <w:left w:val="double" w:sz="4" w:space="0" w:color="000000"/>
                    <w:bottom w:val="double" w:sz="4" w:space="0" w:color="000000"/>
                    <w:right w:val="double" w:sz="4" w:space="0" w:color="000000"/>
                    <w:insideH w:val="double" w:sz="4" w:space="0" w:color="000000"/>
                    <w:insideV w:val="double" w:sz="4" w:space="0" w:color="000000"/>
                  </w:tcBorders>
                  <w:shd w:fill="auto" w:val="clear"/>
                </w:tcPr>
                <w:p>
                  <w:pPr>
                    <w:pStyle w:val="Normal"/>
                    <w:jc w:val="both"/>
                    <w:rPr/>
                  </w:pPr>
                  <w:r>
                    <w:rPr/>
                    <w:t>Эксперт-техник</w:t>
                  </w:r>
                </w:p>
              </w:tc>
              <w:tc>
                <w:tcPr>
                  <w:tcW w:w="6396" w:type="dxa"/>
                  <w:gridSpan w:val="2"/>
                  <w:tcBorders>
                    <w:top w:val="double" w:sz="4" w:space="0" w:color="000000"/>
                    <w:left w:val="double" w:sz="4" w:space="0" w:color="000000"/>
                    <w:bottom w:val="double" w:sz="4" w:space="0" w:color="000000"/>
                    <w:right w:val="double" w:sz="4" w:space="0" w:color="000000"/>
                    <w:insideH w:val="double" w:sz="4" w:space="0" w:color="000000"/>
                    <w:insideV w:val="double" w:sz="4" w:space="0" w:color="000000"/>
                  </w:tcBorders>
                  <w:shd w:fill="auto" w:val="clear"/>
                </w:tcPr>
                <w:p>
                  <w:pPr>
                    <w:pStyle w:val="Normal"/>
                    <w:jc w:val="both"/>
                    <w:rPr/>
                  </w:pPr>
                  <w:r>
                    <w:rPr/>
                    <w:t>Григорьев Максим Алексеевич</w:t>
                  </w:r>
                </w:p>
              </w:tc>
            </w:tr>
            <w:tr>
              <w:trPr>
                <w:trHeight w:val="1132" w:hRule="atLeast"/>
              </w:trPr>
              <w:tc>
                <w:tcPr>
                  <w:tcW w:w="3558" w:type="dxa"/>
                  <w:gridSpan w:val="2"/>
                  <w:tcBorders>
                    <w:top w:val="double" w:sz="4" w:space="0" w:color="000000"/>
                    <w:left w:val="double" w:sz="4" w:space="0" w:color="000000"/>
                    <w:bottom w:val="double" w:sz="4" w:space="0" w:color="000000"/>
                    <w:right w:val="double" w:sz="4" w:space="0" w:color="000000"/>
                    <w:insideH w:val="double" w:sz="4" w:space="0" w:color="000000"/>
                    <w:insideV w:val="double" w:sz="4" w:space="0" w:color="000000"/>
                  </w:tcBorders>
                  <w:shd w:fill="auto" w:val="clear"/>
                  <w:vAlign w:val="center"/>
                </w:tcPr>
                <w:p>
                  <w:pPr>
                    <w:pStyle w:val="Normal"/>
                    <w:spacing w:lineRule="auto" w:line="276"/>
                    <w:ind w:firstLine="34"/>
                    <w:jc w:val="both"/>
                    <w:rPr>
                      <w:bCs/>
                      <w:color w:val="000000"/>
                      <w:lang w:eastAsia="en-US"/>
                    </w:rPr>
                  </w:pPr>
                  <w:r>
                    <w:rPr>
                      <w:bCs/>
                      <w:color w:val="000000"/>
                      <w:lang w:eastAsia="en-US"/>
                    </w:rPr>
                    <w:t>Номер документа, подтверждающего получение профессиональных знаний</w:t>
                  </w:r>
                </w:p>
              </w:tc>
              <w:tc>
                <w:tcPr>
                  <w:tcW w:w="6381" w:type="dxa"/>
                  <w:tcBorders>
                    <w:top w:val="double" w:sz="4" w:space="0" w:color="000000"/>
                    <w:left w:val="double" w:sz="4" w:space="0" w:color="000000"/>
                    <w:bottom w:val="double" w:sz="4" w:space="0" w:color="000000"/>
                    <w:right w:val="double" w:sz="4" w:space="0" w:color="000000"/>
                    <w:insideH w:val="double" w:sz="4" w:space="0" w:color="000000"/>
                    <w:insideV w:val="double" w:sz="4" w:space="0" w:color="000000"/>
                  </w:tcBorders>
                  <w:shd w:fill="auto" w:val="clear"/>
                  <w:vAlign w:val="center"/>
                </w:tcPr>
                <w:p>
                  <w:pPr>
                    <w:pStyle w:val="Normal"/>
                    <w:spacing w:lineRule="auto" w:line="276"/>
                    <w:jc w:val="both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Диплом о профессиональной переподготовке Московского финансово-промышленного университета «Синергия»  ПП-</w:t>
                  </w:r>
                  <w:r>
                    <w:rPr>
                      <w:lang w:val="en-US" w:eastAsia="en-US"/>
                    </w:rPr>
                    <w:t>I</w:t>
                  </w:r>
                  <w:r>
                    <w:rPr>
                      <w:lang w:eastAsia="en-US"/>
                    </w:rPr>
                    <w:t xml:space="preserve"> № 932746 от 01 февраля 2013 года</w:t>
                  </w:r>
                </w:p>
              </w:tc>
            </w:tr>
            <w:tr>
              <w:trPr>
                <w:trHeight w:val="492" w:hRule="atLeast"/>
              </w:trPr>
              <w:tc>
                <w:tcPr>
                  <w:tcW w:w="3558" w:type="dxa"/>
                  <w:gridSpan w:val="2"/>
                  <w:tcBorders>
                    <w:top w:val="double" w:sz="4" w:space="0" w:color="000000"/>
                    <w:left w:val="double" w:sz="4" w:space="0" w:color="000000"/>
                    <w:bottom w:val="double" w:sz="4" w:space="0" w:color="000000"/>
                    <w:right w:val="double" w:sz="4" w:space="0" w:color="000000"/>
                    <w:insideH w:val="double" w:sz="4" w:space="0" w:color="000000"/>
                    <w:insideV w:val="double" w:sz="4" w:space="0" w:color="000000"/>
                  </w:tcBorders>
                  <w:shd w:fill="auto" w:val="clear"/>
                  <w:vAlign w:val="center"/>
                </w:tcPr>
                <w:p>
                  <w:pPr>
                    <w:pStyle w:val="Normal"/>
                    <w:spacing w:lineRule="auto" w:line="276"/>
                    <w:ind w:firstLine="34"/>
                    <w:rPr>
                      <w:bCs/>
                      <w:color w:val="000000"/>
                      <w:lang w:eastAsia="en-US"/>
                    </w:rPr>
                  </w:pPr>
                  <w:r>
                    <w:rPr/>
                    <w:t>Номер документа, подтверждающего получение профессиональных знаний</w:t>
                  </w:r>
                </w:p>
              </w:tc>
              <w:tc>
                <w:tcPr>
                  <w:tcW w:w="6381" w:type="dxa"/>
                  <w:tcBorders>
                    <w:top w:val="double" w:sz="4" w:space="0" w:color="000000"/>
                    <w:left w:val="double" w:sz="4" w:space="0" w:color="000000"/>
                    <w:bottom w:val="double" w:sz="4" w:space="0" w:color="000000"/>
                    <w:right w:val="double" w:sz="4" w:space="0" w:color="000000"/>
                    <w:insideH w:val="double" w:sz="4" w:space="0" w:color="000000"/>
                    <w:insideV w:val="double" w:sz="4" w:space="0" w:color="000000"/>
                  </w:tcBorders>
                  <w:shd w:fill="auto" w:val="clear"/>
                  <w:vAlign w:val="center"/>
                </w:tcPr>
                <w:p>
                  <w:pPr>
                    <w:pStyle w:val="Normal"/>
                    <w:spacing w:lineRule="auto" w:line="276"/>
                    <w:ind w:left="25" w:hanging="0"/>
                    <w:jc w:val="both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Диплом о профессиональной переподготовке «Московский государственный машиностроительный университет (МАМИ)» по программе «Профессиональная переподготовка экспертов-техников» №2796 от 28 августа 2014 года.</w:t>
                  </w:r>
                </w:p>
                <w:p>
                  <w:pPr>
                    <w:pStyle w:val="Normal"/>
                    <w:spacing w:lineRule="auto" w:line="276"/>
                    <w:rPr>
                      <w:rFonts w:ascii="Arial" w:hAnsi="Arial" w:cs="Arial"/>
                      <w:b/>
                      <w:b/>
                      <w:bCs/>
                      <w:i/>
                      <w:i/>
                      <w:iCs/>
                    </w:rPr>
                  </w:pPr>
                  <w:r>
                    <w:rPr>
                      <w:lang w:eastAsia="en-US"/>
                    </w:rPr>
                    <w:t>Согласно протоколу №3 от 20.05.2016 года, Григорьев Максим Алексеевич, включен в реестр экспертов-техников при Минюсте РФ №5555</w:t>
                  </w:r>
                </w:p>
              </w:tc>
            </w:tr>
            <w:tr>
              <w:trPr>
                <w:trHeight w:val="492" w:hRule="atLeast"/>
              </w:trPr>
              <w:tc>
                <w:tcPr>
                  <w:tcW w:w="3558" w:type="dxa"/>
                  <w:gridSpan w:val="2"/>
                  <w:tcBorders>
                    <w:top w:val="double" w:sz="4" w:space="0" w:color="000000"/>
                    <w:left w:val="double" w:sz="4" w:space="0" w:color="000000"/>
                    <w:bottom w:val="double" w:sz="4" w:space="0" w:color="000000"/>
                    <w:right w:val="double" w:sz="4" w:space="0" w:color="000000"/>
                    <w:insideH w:val="double" w:sz="4" w:space="0" w:color="000000"/>
                    <w:insideV w:val="double" w:sz="4" w:space="0" w:color="000000"/>
                  </w:tcBorders>
                  <w:shd w:fill="auto" w:val="clear"/>
                  <w:vAlign w:val="center"/>
                </w:tcPr>
                <w:p>
                  <w:pPr>
                    <w:pStyle w:val="Normal"/>
                    <w:spacing w:lineRule="auto" w:line="276"/>
                    <w:ind w:firstLine="34"/>
                    <w:rPr>
                      <w:bCs/>
                      <w:color w:val="000000"/>
                      <w:lang w:eastAsia="en-US"/>
                    </w:rPr>
                  </w:pPr>
                  <w:r>
                    <w:rPr>
                      <w:bCs/>
                      <w:color w:val="000000"/>
                      <w:lang w:eastAsia="en-US"/>
                    </w:rPr>
                    <w:t xml:space="preserve">Стаж работы </w:t>
                  </w:r>
                </w:p>
              </w:tc>
              <w:tc>
                <w:tcPr>
                  <w:tcW w:w="6381" w:type="dxa"/>
                  <w:tcBorders>
                    <w:top w:val="double" w:sz="4" w:space="0" w:color="000000"/>
                    <w:left w:val="double" w:sz="4" w:space="0" w:color="000000"/>
                    <w:bottom w:val="double" w:sz="4" w:space="0" w:color="000000"/>
                    <w:right w:val="double" w:sz="4" w:space="0" w:color="000000"/>
                    <w:insideH w:val="double" w:sz="4" w:space="0" w:color="000000"/>
                    <w:insideV w:val="double" w:sz="4" w:space="0" w:color="000000"/>
                  </w:tcBorders>
                  <w:shd w:fill="auto" w:val="clear"/>
                  <w:vAlign w:val="center"/>
                </w:tcPr>
                <w:p>
                  <w:pPr>
                    <w:pStyle w:val="Normal"/>
                    <w:spacing w:lineRule="auto" w:line="276"/>
                    <w:rPr>
                      <w:rFonts w:ascii="Arial" w:hAnsi="Arial" w:cs="Arial"/>
                      <w:b/>
                      <w:b/>
                      <w:bCs/>
                      <w:i/>
                      <w:i/>
                      <w:iCs/>
                    </w:rPr>
                  </w:pPr>
                  <w:r>
                    <w:rPr>
                      <w:lang w:eastAsia="en-US"/>
                    </w:rPr>
                    <w:t>С 2014 года</w:t>
                  </w:r>
                </w:p>
              </w:tc>
            </w:tr>
          </w:tbl>
          <w:p>
            <w:pPr>
              <w:pStyle w:val="Normal"/>
              <w:tabs>
                <w:tab w:val="clear" w:pos="708"/>
                <w:tab w:val="left" w:pos="1800" w:leader="none"/>
              </w:tabs>
              <w:rPr/>
            </w:pPr>
            <w:r>
              <w:rPr/>
            </w:r>
          </w:p>
        </w:tc>
      </w:tr>
    </w:tbl>
    <w:p>
      <w:pPr>
        <w:pStyle w:val="19"/>
        <w:tabs>
          <w:tab w:val="clear" w:pos="708"/>
          <w:tab w:val="left" w:pos="3402" w:leader="none"/>
        </w:tabs>
        <w:jc w:val="center"/>
        <w:rPr>
          <w:rFonts w:ascii="Times New Roman" w:hAnsi="Times New Roman"/>
          <w:b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</w:r>
    </w:p>
    <w:p>
      <w:pPr>
        <w:pStyle w:val="19"/>
        <w:tabs>
          <w:tab w:val="clear" w:pos="708"/>
          <w:tab w:val="left" w:pos="3402" w:leader="none"/>
        </w:tabs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Законы и нормативные акты</w:t>
      </w:r>
    </w:p>
    <w:p>
      <w:pPr>
        <w:pStyle w:val="Normal"/>
        <w:tabs>
          <w:tab w:val="clear" w:pos="708"/>
          <w:tab w:val="left" w:pos="-1260" w:leader="none"/>
          <w:tab w:val="left" w:pos="-900" w:leader="none"/>
          <w:tab w:val="left" w:pos="240" w:leader="none"/>
          <w:tab w:val="left" w:pos="2640" w:leader="none"/>
          <w:tab w:val="left" w:pos="3600" w:leader="none"/>
        </w:tabs>
        <w:ind w:left="540" w:firstLine="540"/>
        <w:rPr>
          <w:bCs/>
          <w:color w:val="000000"/>
          <w:u w:val="single"/>
        </w:rPr>
      </w:pPr>
      <w:r>
        <w:rPr>
          <w:bCs/>
          <w:color w:val="000000"/>
          <w:u w:val="single"/>
        </w:rPr>
      </w:r>
    </w:p>
    <w:p>
      <w:pPr>
        <w:pStyle w:val="ListParagraph"/>
        <w:numPr>
          <w:ilvl w:val="0"/>
          <w:numId w:val="3"/>
        </w:numPr>
        <w:jc w:val="both"/>
        <w:rPr>
          <w:color w:val="000000"/>
        </w:rPr>
      </w:pPr>
      <w:r>
        <w:rPr>
          <w:color w:val="000000"/>
        </w:rPr>
        <w:t>Гражданский кодекс РФ от 21.10.94. Часть 1-2.</w:t>
      </w:r>
    </w:p>
    <w:p>
      <w:pPr>
        <w:pStyle w:val="ListParagraph"/>
        <w:numPr>
          <w:ilvl w:val="0"/>
          <w:numId w:val="3"/>
        </w:numPr>
        <w:jc w:val="both"/>
        <w:rPr/>
      </w:pPr>
      <w:r>
        <w:rPr/>
        <w:t>Федеральный закон «Об обязательном страховании гражданской ответственности владельцев транспортных средств» от 25 апреля 2002 № 40-ФЗ (с изменениями и дополнениями);</w:t>
      </w:r>
    </w:p>
    <w:p>
      <w:pPr>
        <w:pStyle w:val="ListParagraph"/>
        <w:numPr>
          <w:ilvl w:val="0"/>
          <w:numId w:val="3"/>
        </w:numPr>
        <w:jc w:val="both"/>
        <w:rPr/>
      </w:pPr>
      <w:r>
        <w:rPr/>
        <w:t>Положение Банка России от 4 марта 2021 г. N 755-П "О единой методике определения размера расходов на восстановительный ремонт в отношении поврежденного транспортного средства";</w:t>
      </w:r>
    </w:p>
    <w:p>
      <w:pPr>
        <w:pStyle w:val="ListParagraph"/>
        <w:numPr>
          <w:ilvl w:val="0"/>
          <w:numId w:val="3"/>
        </w:numPr>
        <w:jc w:val="both"/>
        <w:rPr/>
      </w:pPr>
      <w:r>
        <w:rPr/>
        <w:t>Положение Банка России от 19.09.2014 N 433-П (ред. от 19.08.2021) О правилах проведения независимой технической экспертизы транспортного средства;</w:t>
      </w:r>
    </w:p>
    <w:p>
      <w:pPr>
        <w:pStyle w:val="ListParagraph"/>
        <w:numPr>
          <w:ilvl w:val="0"/>
          <w:numId w:val="3"/>
        </w:numPr>
        <w:jc w:val="both"/>
        <w:rPr>
          <w:color w:val="000000"/>
        </w:rPr>
      </w:pPr>
      <w:r>
        <w:rPr>
          <w:color w:val="000000"/>
        </w:rPr>
        <w:t xml:space="preserve">Методические рекомендации по проведению судебных автотехнических экспертиз и исследований колесных транспортных средств в целях определения размера ущерба, стоимости восстановительного ремонта и оценки. Печатается по решению научно-методического совета ФБУ РФЦСЭ при Минюсте России, Москва 2018г.; </w:t>
      </w:r>
    </w:p>
    <w:p>
      <w:pPr>
        <w:pStyle w:val="ListParagraph"/>
        <w:numPr>
          <w:ilvl w:val="0"/>
          <w:numId w:val="3"/>
        </w:numPr>
        <w:jc w:val="both"/>
        <w:rPr>
          <w:color w:val="000000"/>
        </w:rPr>
      </w:pPr>
      <w:r>
        <w:rPr>
          <w:color w:val="000000"/>
        </w:rPr>
        <w:t>Материалы тематических веб-сайтов сети Интернет.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center"/>
        <w:rPr>
          <w:rFonts w:eastAsia="Arial Unicode MS"/>
          <w:b/>
          <w:b/>
          <w:color w:val="000000"/>
        </w:rPr>
      </w:pPr>
      <w:r>
        <w:rPr>
          <w:rFonts w:eastAsia="Arial Unicode MS"/>
          <w:b/>
          <w:color w:val="000000"/>
        </w:rPr>
        <w:t>Ограничения и пределы применения полученных результатов</w:t>
      </w:r>
    </w:p>
    <w:p>
      <w:pPr>
        <w:pStyle w:val="110"/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ind w:firstLine="708"/>
        <w:jc w:val="both"/>
        <w:rPr>
          <w:color w:val="000000"/>
        </w:rPr>
      </w:pPr>
      <w:r>
        <w:rPr>
          <w:color w:val="000000"/>
        </w:rPr>
        <w:t>Следующие допущения и условия, ограничивающие пределы применения полученных результатов, являются неотъемлемой частью данного экспертного заключения.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>Результаты, полученные экспертом, носят рекомендательный консультационный характер и не являются обязательными. Эксперт высказывает своё субъективное суждение о наиболее вероятных будущих (абстрактных) расходах, их предполагаемом размере и дает заключение в пределах своей компетенции.</w:t>
      </w:r>
    </w:p>
    <w:p>
      <w:pPr>
        <w:pStyle w:val="Normal"/>
        <w:ind w:firstLine="708"/>
        <w:jc w:val="both"/>
        <w:rPr>
          <w:color w:val="000000"/>
        </w:rPr>
      </w:pPr>
      <w:r>
        <w:rPr>
          <w:color w:val="000000"/>
        </w:rPr>
        <w:t xml:space="preserve">Под компетенцией эксперта понимают его знания и опыт в области теории и методов экспертных исследований ТС, а также круг полномочий, представленных ему законом, и вопросов, которые он может решать на основе своих специальных познаний. </w:t>
      </w:r>
    </w:p>
    <w:p>
      <w:pPr>
        <w:pStyle w:val="Normal"/>
        <w:ind w:firstLine="708"/>
        <w:jc w:val="both"/>
        <w:rPr>
          <w:color w:val="000000"/>
        </w:rPr>
      </w:pPr>
      <w:r>
        <w:rPr>
          <w:color w:val="000000"/>
        </w:rPr>
        <w:t>Эксперт в рамках своих обязательств по заключенному договору об экспертном обслуживании признает свою ответственность перед заказчиком и настоящим утверждает, что экспертное заключение выполнено профессионально, тщательно и с должной заботливостью и внимаем, как это обычно принято для компетентного специалиста в области технической экспертизы ТС, а полученная величина убытков, причиненных ТС.</w:t>
      </w:r>
    </w:p>
    <w:p>
      <w:pPr>
        <w:pStyle w:val="Normal"/>
        <w:ind w:firstLine="708"/>
        <w:jc w:val="both"/>
        <w:rPr>
          <w:color w:val="000000"/>
        </w:rPr>
      </w:pPr>
      <w:r>
        <w:rPr>
          <w:color w:val="000000"/>
        </w:rPr>
        <w:t>Эксперт считает, что поскольку, по общему правилу, оценка доказательств является прерогативой и компетенцией органа дознания, следствия или суда, а в досудебном порядке – страховщика, постольку после проверки результатов экспертизы последним, их признания и принятия решения о выплате страхового возмещения этап возможного оспаривания достоверности исследований между заказчиком и исполнителем завершен.</w:t>
      </w:r>
    </w:p>
    <w:p>
      <w:pPr>
        <w:pStyle w:val="Normal"/>
        <w:ind w:firstLine="708"/>
        <w:jc w:val="both"/>
        <w:rPr>
          <w:color w:val="000000"/>
        </w:rPr>
      </w:pPr>
      <w:r>
        <w:rPr>
          <w:color w:val="000000"/>
        </w:rPr>
        <w:t>Соответственно, обязанности экспертной организации по договору являются надлежаще исполненными в полном объеме и от эксперта не требуется свидетельствовать по поводу произведённого исследования перед третьими лицами.</w:t>
      </w:r>
    </w:p>
    <w:p>
      <w:pPr>
        <w:pStyle w:val="Normal"/>
        <w:ind w:firstLine="708"/>
        <w:jc w:val="both"/>
        <w:rPr>
          <w:color w:val="000000"/>
        </w:rPr>
      </w:pPr>
      <w:r>
        <w:rPr>
          <w:color w:val="000000"/>
        </w:rPr>
        <w:t>Отдельные части настоящего экспертного исследования не могут трактоваться отдельно, а только в связи с полным текстом о проведенных расчетах.</w:t>
      </w:r>
    </w:p>
    <w:p>
      <w:pPr>
        <w:pStyle w:val="Normal"/>
        <w:ind w:firstLine="708"/>
        <w:jc w:val="both"/>
        <w:rPr>
          <w:color w:val="000000"/>
        </w:rPr>
      </w:pPr>
      <w:r>
        <w:rPr>
          <w:color w:val="000000"/>
        </w:rPr>
        <w:t>Исходные данные, использованные экспертом при подготовке экспертного заключения, получены из надежных источников и считаются достоверными. Тем не менее, эксперт не может гарантировать абсолютную точность, поэтому там, где это, возможно, делаются ссылки на источники информации.</w:t>
      </w:r>
    </w:p>
    <w:p>
      <w:pPr>
        <w:pStyle w:val="Normal"/>
        <w:ind w:firstLine="708"/>
        <w:jc w:val="both"/>
        <w:rPr>
          <w:color w:val="000000"/>
        </w:rPr>
      </w:pPr>
      <w:r>
        <w:rPr>
          <w:color w:val="000000"/>
        </w:rPr>
        <w:t xml:space="preserve">Суждения, содержащиеся в экспертном заключении, основываются на текущей ситуации на дату исследования и, в будущем, могут быть подвержены изменениям. </w:t>
      </w:r>
    </w:p>
    <w:p>
      <w:pPr>
        <w:pStyle w:val="Normal"/>
        <w:ind w:firstLine="708"/>
        <w:jc w:val="both"/>
        <w:rPr>
          <w:color w:val="000000"/>
        </w:rPr>
      </w:pPr>
      <w:r>
        <w:rPr>
          <w:color w:val="000000"/>
        </w:rPr>
        <w:t>Эксперт не принимает на себя никакой ответственности за изменение экономических, юридических и иных факторов, которые могут возникнуть после даты исследования и повлиять на результаты технической экспертизы.</w:t>
      </w:r>
    </w:p>
    <w:p>
      <w:pPr>
        <w:pStyle w:val="Normal"/>
        <w:spacing w:before="120" w:after="0"/>
        <w:ind w:firstLine="708"/>
        <w:rPr>
          <w:rFonts w:cs="Arial CYR"/>
        </w:rPr>
      </w:pPr>
      <w:r>
        <w:rPr>
          <w:rFonts w:cs="Arial CYR"/>
        </w:rPr>
        <w:t>Осмотр транспортного средства экспертом-техником не производился.</w:t>
      </w:r>
      <w:r>
        <w:rPr/>
        <w:t xml:space="preserve"> Исследование проведено на основание акта осмотра, предоставленным заказчиком.</w:t>
      </w:r>
    </w:p>
    <w:p>
      <w:pPr>
        <w:pStyle w:val="Normal"/>
        <w:ind w:firstLine="708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jc w:val="center"/>
        <w:rPr>
          <w:b/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II. Исследовательская часть</w:t>
      </w:r>
    </w:p>
    <w:p>
      <w:pPr>
        <w:pStyle w:val="2"/>
        <w:rPr/>
      </w:pPr>
      <w:r>
        <w:rPr/>
      </w:r>
      <w:bookmarkStart w:id="16" w:name="_Toc139538150"/>
      <w:bookmarkStart w:id="17" w:name="_Toc139538150"/>
      <w:bookmarkEnd w:id="17"/>
    </w:p>
    <w:p>
      <w:pPr>
        <w:pStyle w:val="BodyText3"/>
        <w:spacing w:before="0"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Утрата товарной стоимости (УТС) обусловлена снижением стоимости КТС из за ухудшения его потребительских свойств вследствие наличия дефектов (повреждений) или следов их устранения либо наличия достоверной информации, что дефекты (повреждения) устранялись.  </w:t>
      </w:r>
    </w:p>
    <w:p>
      <w:pPr>
        <w:pStyle w:val="Style24"/>
        <w:spacing w:before="0"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УТС может быть рассчитана для КТС, находящихся как в поврежденном, так и в отремонтированном состоянии (при возможности установить степень повреждения) независимо от их принадлежности. УТС не связана с неудовлетворительным качеством восстановительного ремонта.</w:t>
      </w:r>
    </w:p>
    <w:p>
      <w:pPr>
        <w:pStyle w:val="BodyText3"/>
        <w:spacing w:before="0"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УТС может быть рассчитана для АМТС, при необходимости выполнения одного из нижеперечисленных видов ремонтных воздействий или если установлено их выполнение</w:t>
      </w:r>
    </w:p>
    <w:p>
      <w:pPr>
        <w:pStyle w:val="Style24"/>
        <w:spacing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>- устранение перекоса кузова или рамы КТС;</w:t>
      </w:r>
    </w:p>
    <w:p>
      <w:pPr>
        <w:pStyle w:val="Style24"/>
        <w:spacing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>- замена несъемных элементов кузова КТС (полная или частичная);</w:t>
      </w:r>
    </w:p>
    <w:p>
      <w:pPr>
        <w:pStyle w:val="Style24"/>
        <w:spacing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>- ремонт отдельных (съемных или несъемных) элементов кузова (включая оперение) КТС (в том числе пластиковых капота, крыльев, дверей, крышки багажника);</w:t>
      </w:r>
    </w:p>
    <w:p>
      <w:pPr>
        <w:pStyle w:val="Style24"/>
        <w:spacing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>- полная или частичная окраска наружных (лицевых) поверхностей кузова (включая оперение) КТС, бамперов;</w:t>
      </w:r>
    </w:p>
    <w:p>
      <w:pPr>
        <w:pStyle w:val="Style24"/>
        <w:spacing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>- полная разборка салона КТС, вызывающая нарушение качества заводской сборки.</w:t>
      </w:r>
    </w:p>
    <w:p>
      <w:pPr>
        <w:pStyle w:val="BodyText3"/>
        <w:spacing w:before="0" w:after="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УТС не рассчитывается:</w:t>
      </w:r>
    </w:p>
    <w:p>
      <w:pPr>
        <w:pStyle w:val="BodyText3"/>
        <w:spacing w:before="0" w:after="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а) если срок эксплуатации легковых автомобилей превышает 5 лет;</w:t>
      </w:r>
    </w:p>
    <w:p>
      <w:pPr>
        <w:pStyle w:val="BodyText3"/>
        <w:spacing w:before="0" w:after="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б) если легковые автомобили эксплуатируются в интенсивном режиме, а срок эксплуатации превышает 2,5 года;</w:t>
      </w:r>
    </w:p>
    <w:p>
      <w:pPr>
        <w:pStyle w:val="BodyText3"/>
        <w:spacing w:before="0" w:after="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в) срок эксплуатации грузовых КТС превышает 3 года;</w:t>
      </w:r>
    </w:p>
    <w:p>
      <w:pPr>
        <w:pStyle w:val="BodyText3"/>
        <w:spacing w:before="0" w:after="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г) если срок эксплуатации грузовых КТС, выполняющих вспомогательные функции при обеспечении технологических процессов (генераторы, передвижные мастерские и т. п. техника, установленная на шасси грузовых автомобилей и др.)</w:t>
      </w:r>
    </w:p>
    <w:p>
      <w:pPr>
        <w:pStyle w:val="BodyText3"/>
        <w:spacing w:before="0" w:after="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д) если срок эксплуатации автобусов превышает 1 год для автобусов, работающих в интенсивном режиме эксплуатации, и 3 года для прочих автобусов;</w:t>
      </w:r>
    </w:p>
    <w:p>
      <w:pPr>
        <w:pStyle w:val="BodyText3"/>
        <w:spacing w:before="0" w:after="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е) в случае замены кузова до оцениваемых повреждений (за исключением кузова грузового КТС, установленного на раме за кабиной);</w:t>
      </w:r>
    </w:p>
    <w:p>
      <w:pPr>
        <w:pStyle w:val="BodyText3"/>
        <w:spacing w:before="0" w:after="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ж) если КТС ранее подвергалось восстановительному ремонту (в том числе окраске – полной, наружной частичной; «пятном с переходом») или имело аварийные повреждения, кроме повреждений, указанных в пункте 8.4* (Методических рекомендаций по проведению судебных автотехнических экспертиз и исследований колесных транспортных средств в целях определения размера ущерба, стоимости восстановительного ремонта и оценки, 2018г.)</w:t>
      </w:r>
    </w:p>
    <w:p>
      <w:pPr>
        <w:pStyle w:val="BodyText3"/>
        <w:spacing w:before="0" w:after="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з) если КТС имело коррозийные повреждения кузова или кабины на момент происшествия;</w:t>
      </w:r>
    </w:p>
    <w:p>
      <w:pPr>
        <w:pStyle w:val="BodyText3"/>
        <w:spacing w:before="0" w:after="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3"/>
        <w:spacing w:before="0" w:after="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*Пункт 8.4 (Методических рекомендаций по проведению судебных автотехнических экспертиз и исследований колесных транспортных средств в целях определения размера ущерба, стоимости восстановительного ремонта и оценки, 2018г.) -</w:t>
      </w:r>
    </w:p>
    <w:p>
      <w:pPr>
        <w:pStyle w:val="BodyText3"/>
        <w:spacing w:before="0" w:after="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Нижеприведенные повреждения не требуют расчета УТС вследствие исследуемого происшествия, а их наличие до исследуемого происшествия не обуславливает отказ от расчета УТС при таких повреждениях:</w:t>
      </w:r>
    </w:p>
    <w:p>
      <w:pPr>
        <w:pStyle w:val="BodyText3"/>
        <w:spacing w:before="0" w:after="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а)</w:t>
        <w:tab/>
        <w:t>эксплуатационных повреждениях ЛКП в виде меления, трещин, а также повреждений, вызванных механическими воздействиями - незначительных по площади сколов, рисок, не нарушающих защитных функций ЛКП состав</w:t>
        <w:softHyphen/>
        <w:t>ных частей оперения;</w:t>
      </w:r>
    </w:p>
    <w:p>
      <w:pPr>
        <w:pStyle w:val="BodyText3"/>
        <w:spacing w:before="0" w:after="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б)</w:t>
        <w:tab/>
        <w:t>одиночного эксплуатационного повреждения оперения кузова (каби</w:t>
        <w:softHyphen/>
        <w:t>ны) в виде простой деформации, не требующего окраски, площадью не более 0,25 дм2;</w:t>
      </w:r>
    </w:p>
    <w:p>
      <w:pPr>
        <w:pStyle w:val="BodyText3"/>
        <w:spacing w:before="0" w:after="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в)</w:t>
        <w:tab/>
        <w:t>повреждения, которые приводят к замене отдельных составных частей, которые не нуждаются в окрашивании и не ухудшают внешний вид КТС (стек</w:t>
        <w:softHyphen/>
        <w:t>ло, фары, бампера неокрашиваемые, пневматические шины, колесные диски, внешняя и внутренняя фурнитура и т. п.). Если, кроме указанных составных частей, повреждены составные части кузова, рамы, кабины или детали опере</w:t>
        <w:softHyphen/>
        <w:t>ния - крылья съемные, капот, двери, крышка багажника, - то расчет величи</w:t>
        <w:softHyphen/>
        <w:t>ны УТС должен учитывать все повреждения составных частей в комплексе;</w:t>
      </w:r>
    </w:p>
    <w:p>
      <w:pPr>
        <w:pStyle w:val="BodyText3"/>
        <w:spacing w:before="0" w:after="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г)</w:t>
        <w:tab/>
        <w:t>в случае окраски молдингов, облицовок, накладок, ручек, корпусов зер</w:t>
        <w:softHyphen/>
        <w:t>кал и других мелких наружных элементов, колесных дисков.</w:t>
      </w:r>
    </w:p>
    <w:p>
      <w:pPr>
        <w:pStyle w:val="BodyText3"/>
        <w:spacing w:before="0" w:after="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3"/>
        <w:spacing w:before="0" w:after="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Величина УТС (С</w:t>
      </w:r>
      <w:r>
        <w:rPr>
          <w:sz w:val="24"/>
          <w:szCs w:val="24"/>
          <w:vertAlign w:val="subscript"/>
        </w:rPr>
        <w:t>утс)</w:t>
      </w:r>
      <w:r>
        <w:rPr>
          <w:sz w:val="24"/>
          <w:szCs w:val="24"/>
        </w:rPr>
        <w:t xml:space="preserve"> определяется на дату оценки (исследования) по формуле:</w:t>
      </w:r>
    </w:p>
    <w:p>
      <w:pPr>
        <w:pStyle w:val="BodyText3"/>
        <w:spacing w:before="0" w:after="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где С</w:t>
      </w:r>
      <w:r>
        <w:rPr>
          <w:sz w:val="24"/>
          <w:szCs w:val="24"/>
          <w:vertAlign w:val="subscript"/>
        </w:rPr>
        <w:t xml:space="preserve">ктс </w:t>
      </w:r>
      <w:r>
        <w:rPr>
          <w:sz w:val="24"/>
          <w:szCs w:val="24"/>
        </w:rPr>
        <w:t>– стоимость КТС на дату оценки *исследования), руб;</w:t>
      </w:r>
    </w:p>
    <w:p>
      <w:pPr>
        <w:pStyle w:val="BodyText3"/>
        <w:spacing w:before="0" w:after="0"/>
        <w:ind w:firstLine="284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3"/>
        <w:spacing w:before="0" w:after="0"/>
        <w:ind w:firstLine="284"/>
        <w:jc w:val="center"/>
        <w:rPr>
          <w:sz w:val="24"/>
          <w:szCs w:val="24"/>
        </w:rPr>
      </w:pPr>
      <w:r>
        <w:rPr/>
        <w:drawing>
          <wp:inline distT="0" distB="0" distL="0" distR="635">
            <wp:extent cx="1847215" cy="709295"/>
            <wp:effectExtent l="0" t="0" r="0" b="0"/>
            <wp:docPr id="2" name="Рисунок 4" descr="2022-01-05_095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 descr="2022-01-05_095316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3"/>
        <w:spacing w:before="0" w:after="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К</w:t>
      </w:r>
      <w:r>
        <w:rPr>
          <w:sz w:val="24"/>
          <w:szCs w:val="24"/>
          <w:vertAlign w:val="subscript"/>
        </w:rPr>
        <w:t xml:space="preserve">утс </w:t>
      </w:r>
      <w:r>
        <w:rPr>
          <w:sz w:val="24"/>
          <w:szCs w:val="24"/>
          <w:vertAlign w:val="subscript"/>
          <w:lang w:val="en-US"/>
        </w:rPr>
        <w:t>i</w:t>
      </w:r>
      <w:r>
        <w:rPr>
          <w:sz w:val="24"/>
          <w:szCs w:val="24"/>
          <w:vertAlign w:val="subscript"/>
        </w:rPr>
        <w:t xml:space="preserve"> </w:t>
      </w:r>
      <w:r>
        <w:rPr>
          <w:sz w:val="24"/>
          <w:szCs w:val="24"/>
        </w:rPr>
        <w:t xml:space="preserve">– коэффициент УТС по </w:t>
      </w: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>-му элементу КТС, ремонтному воздействию, %.</w:t>
      </w:r>
    </w:p>
    <w:p>
      <w:pPr>
        <w:pStyle w:val="BodyText3"/>
        <w:spacing w:before="0" w:after="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z w:val="24"/>
          <w:szCs w:val="24"/>
        </w:rPr>
        <w:t>Значение коэффициента УТС  К</w:t>
      </w:r>
      <w:r>
        <w:rPr>
          <w:sz w:val="24"/>
          <w:szCs w:val="24"/>
          <w:vertAlign w:val="subscript"/>
        </w:rPr>
        <w:t xml:space="preserve">утс </w:t>
      </w:r>
      <w:r>
        <w:rPr>
          <w:sz w:val="24"/>
          <w:szCs w:val="24"/>
          <w:vertAlign w:val="subscript"/>
          <w:lang w:val="en-US"/>
        </w:rPr>
        <w:t>I</w:t>
      </w:r>
      <w:r>
        <w:rPr>
          <w:sz w:val="24"/>
          <w:szCs w:val="24"/>
          <w:vertAlign w:val="subscript"/>
        </w:rPr>
        <w:t xml:space="preserve"> </w:t>
      </w:r>
      <w:r>
        <w:rPr>
          <w:sz w:val="24"/>
          <w:szCs w:val="24"/>
        </w:rPr>
        <w:t xml:space="preserve">  по отдельным позициям определены по результатам экспертной практики и приведены в таблице 4. </w:t>
      </w:r>
    </w:p>
    <w:p>
      <w:pPr>
        <w:pStyle w:val="BodyText3"/>
        <w:spacing w:before="0" w:after="0"/>
        <w:ind w:firstLine="284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hd w:val="clear" w:color="auto" w:fill="FFFFFF"/>
        <w:ind w:firstLine="510"/>
        <w:jc w:val="both"/>
        <w:rPr/>
      </w:pPr>
      <w:r>
        <w:rPr>
          <w:color w:val="000000"/>
          <w:u w:val="single"/>
        </w:rPr>
        <w:t xml:space="preserve">По данным интернет-источника </w:t>
      </w:r>
      <w:hyperlink r:id="rId4">
        <w:r>
          <w:rPr>
            <w:rStyle w:val="Style10"/>
          </w:rPr>
          <w:t>https://гибдд.рф</w:t>
        </w:r>
      </w:hyperlink>
      <w:r>
        <w:rPr>
          <w:color w:val="000000"/>
          <w:u w:val="single"/>
        </w:rPr>
        <w:t xml:space="preserve"> транспортное средство KIA Cerato, регистрационный знак </w:t>
      </w:r>
      <w:r>
        <w:rPr>
          <w:color w:val="000000" w:themeColor="text1"/>
          <w:sz w:val="28"/>
          <w:szCs w:val="28"/>
          <w:u w:val="single"/>
        </w:rPr>
        <w:t>********</w:t>
      </w:r>
      <w:r>
        <w:rPr>
          <w:color w:val="000000"/>
          <w:u w:val="single"/>
        </w:rPr>
        <w:t xml:space="preserve"> раннее в ДТП не участвовало. По данным заказчика, транспортное средство KIA Cerato, регистрационный знак </w:t>
      </w:r>
      <w:r>
        <w:rPr>
          <w:color w:val="000000" w:themeColor="text1"/>
          <w:sz w:val="28"/>
          <w:szCs w:val="28"/>
          <w:u w:val="single"/>
        </w:rPr>
        <w:t>********</w:t>
      </w:r>
      <w:r>
        <w:rPr>
          <w:color w:val="000000"/>
          <w:u w:val="single"/>
        </w:rPr>
        <w:t xml:space="preserve"> раннее не подвергалось восстановительному ремонту.</w:t>
      </w:r>
    </w:p>
    <w:p>
      <w:pPr>
        <w:pStyle w:val="BodyText3"/>
        <w:spacing w:before="0" w:after="0"/>
        <w:ind w:firstLine="284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ind w:right="310" w:firstLine="708"/>
        <w:jc w:val="center"/>
        <w:rPr/>
      </w:pPr>
      <w:r>
        <w:rPr>
          <w:b/>
        </w:rPr>
        <w:t xml:space="preserve">  </w:t>
      </w:r>
    </w:p>
    <w:p>
      <w:pPr>
        <w:pStyle w:val="Normal"/>
        <w:ind w:right="310" w:firstLine="708"/>
        <w:jc w:val="center"/>
        <w:rPr>
          <w:b/>
          <w:b/>
        </w:rPr>
      </w:pPr>
      <w:r>
        <w:rPr>
          <w:b/>
        </w:rPr>
        <w:t>Определение рыночной стоимости КТС</w:t>
      </w:r>
    </w:p>
    <w:p>
      <w:pPr>
        <w:pStyle w:val="Normal"/>
        <w:ind w:right="310" w:firstLine="708"/>
        <w:jc w:val="center"/>
        <w:rPr>
          <w:b/>
          <w:b/>
        </w:rPr>
      </w:pPr>
      <w:r>
        <w:rPr>
          <w:b/>
        </w:rPr>
      </w:r>
    </w:p>
    <w:p>
      <w:pPr>
        <w:pStyle w:val="Normal"/>
        <w:ind w:right="310" w:firstLine="708"/>
        <w:jc w:val="both"/>
        <w:rPr/>
      </w:pPr>
      <w:r>
        <w:rPr/>
        <w:t>Рыночная стоимость КТС отражает его комплектацию, комплект</w:t>
        <w:softHyphen/>
        <w:t>ность, фактическое техническое состояние, срок эксплуатации, пробег, усло</w:t>
        <w:softHyphen/>
        <w:t>вия, в которых оно эксплуатировалось, конъюнктуру первичного и вторич</w:t>
        <w:softHyphen/>
        <w:t>ного рынка КТС в регионе. Эти факторы выступают в качестве критериев корректировки средней цены оцениваемого КТС с целью получения его ры</w:t>
        <w:softHyphen/>
        <w:t>ночной стоимости.</w:t>
      </w:r>
    </w:p>
    <w:p>
      <w:pPr>
        <w:pStyle w:val="Normal"/>
        <w:ind w:right="310" w:firstLine="708"/>
        <w:jc w:val="both"/>
        <w:rPr/>
      </w:pPr>
      <w:r>
        <w:rPr/>
        <w:t>Расчет рыночной стоимости КТС (Сктс) производится по формуле:</w:t>
      </w:r>
    </w:p>
    <w:p>
      <w:pPr>
        <w:pStyle w:val="Normal"/>
        <w:ind w:right="310" w:firstLine="708"/>
        <w:jc w:val="center"/>
        <w:rPr/>
      </w:pPr>
      <w:r>
        <w:rPr/>
        <w:drawing>
          <wp:inline distT="0" distB="0" distL="0" distR="9525">
            <wp:extent cx="3000375" cy="552450"/>
            <wp:effectExtent l="0" t="0" r="0" b="0"/>
            <wp:docPr id="3" name="Рисунок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3"/>
        <w:shd w:val="clear" w:color="auto" w:fill="auto"/>
        <w:spacing w:lineRule="auto" w:line="259"/>
        <w:ind w:hanging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right="310" w:firstLine="708"/>
        <w:jc w:val="both"/>
        <w:rPr/>
      </w:pPr>
      <w:r>
        <w:rPr/>
        <w:t>где: Сср - средняя цена КТС, руб.;</w:t>
      </w:r>
    </w:p>
    <w:p>
      <w:pPr>
        <w:pStyle w:val="Normal"/>
        <w:ind w:right="310" w:firstLine="708"/>
        <w:jc w:val="both"/>
        <w:rPr/>
      </w:pPr>
      <w:r>
        <w:rPr/>
        <w:t>Пп - процентный показатель корректировки средней цены КТС по про</w:t>
        <w:softHyphen/>
        <w:t>бегу, %;</w:t>
      </w:r>
    </w:p>
    <w:p>
      <w:pPr>
        <w:pStyle w:val="Normal"/>
        <w:ind w:right="310" w:firstLine="708"/>
        <w:jc w:val="both"/>
        <w:rPr/>
      </w:pPr>
      <w:r>
        <w:rPr/>
        <w:t>Пэ - процентный показатель корректировки средней цены КТС в зависи</w:t>
        <w:softHyphen/>
        <w:t>мости от условий эксплуатации, %;</w:t>
      </w:r>
    </w:p>
    <w:p>
      <w:pPr>
        <w:pStyle w:val="Normal"/>
        <w:ind w:right="310" w:firstLine="708"/>
        <w:jc w:val="both"/>
        <w:rPr/>
      </w:pPr>
      <w:r>
        <w:rPr/>
        <w:t>Сдоп - дополнительное увеличение (уменьшение) стоимости в зависимо</w:t>
        <w:softHyphen/>
        <w:t>сти от его комплектности, комплектации, наличия повреждений и факта их устранения, обновления составных частей, руб.</w:t>
      </w:r>
    </w:p>
    <w:p>
      <w:pPr>
        <w:pStyle w:val="Normal"/>
        <w:ind w:right="310" w:firstLine="708"/>
        <w:jc w:val="both"/>
        <w:rPr>
          <w:color w:val="000009"/>
        </w:rPr>
      </w:pPr>
      <w:r>
        <w:rPr>
          <w:color w:val="000009"/>
        </w:rPr>
        <w:t>Согласно методических рекомендаций часть III п. 2.4 «Корректировка средней цены КТС, исходя из его комплектности, опций комплектации, обновления составных частей, повреждений и факта их устранения определяется по формуле:</w:t>
      </w:r>
    </w:p>
    <w:p>
      <w:pPr>
        <w:pStyle w:val="Normal"/>
        <w:ind w:right="310" w:firstLine="708"/>
        <w:jc w:val="center"/>
        <w:rPr/>
      </w:pPr>
      <w:r>
        <w:rPr/>
        <w:drawing>
          <wp:inline distT="0" distB="6985" distL="0" distR="0">
            <wp:extent cx="4904740" cy="374015"/>
            <wp:effectExtent l="0" t="0" r="0" b="0"/>
            <wp:docPr id="4" name="Рисунок 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0" t="20555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740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right="310" w:firstLine="708"/>
        <w:jc w:val="both"/>
        <w:rPr/>
      </w:pPr>
      <w:r>
        <w:rPr/>
        <w:t>где С1 - увеличение средней цены КТС вследствие замены (обновления) его составных частей в процессе эксплуатации, руб.;</w:t>
      </w:r>
    </w:p>
    <w:p>
      <w:pPr>
        <w:pStyle w:val="Normal"/>
        <w:ind w:right="310" w:firstLine="708"/>
        <w:jc w:val="both"/>
        <w:rPr/>
      </w:pPr>
      <w:r>
        <w:rPr/>
        <w:t>С2 - изменение средней цены КТС в зависимости от опций его комплек</w:t>
        <w:softHyphen/>
        <w:t>тации, руб.;</w:t>
      </w:r>
    </w:p>
    <w:p>
      <w:pPr>
        <w:pStyle w:val="Normal"/>
        <w:ind w:right="310" w:firstLine="708"/>
        <w:jc w:val="both"/>
        <w:rPr/>
      </w:pPr>
      <w:r>
        <w:rPr/>
        <w:t>Ср - стоимость ремонтных работ по восстановлению КТС, в случае его нахождения в поврежденном или разукомплектованном состоянии на дату оценки, или стоимость работ с целью повышения его отдельных потребитель</w:t>
        <w:softHyphen/>
        <w:t>ских качеств (тюнинга), руб.;</w:t>
      </w:r>
    </w:p>
    <w:p>
      <w:pPr>
        <w:pStyle w:val="Normal"/>
        <w:ind w:right="310" w:firstLine="708"/>
        <w:jc w:val="both"/>
        <w:rPr/>
      </w:pPr>
      <w:r>
        <w:rPr/>
        <w:t>См - стоимость необходимых для ремонта материалов, в случае его нахож</w:t>
        <w:softHyphen/>
        <w:t>дения в поврежденном или разукомплектованном состоянии на дату оценки, или для выполнения работ с целью повышения его отдельных потребитель</w:t>
        <w:softHyphen/>
        <w:t>ских качеств (тюнинга), руб.;</w:t>
      </w:r>
    </w:p>
    <w:p>
      <w:pPr>
        <w:pStyle w:val="Normal"/>
        <w:ind w:right="310" w:firstLine="708"/>
        <w:jc w:val="both"/>
        <w:rPr/>
      </w:pPr>
      <w:r>
        <w:rPr/>
        <w:t>Сзч - стоимость новых запасных частей, в случае нахождения КТС в по</w:t>
        <w:softHyphen/>
        <w:t>врежденном или разукомплектованном состоянии на дату оценки, или для выполнения работ с целью повышения его отдельных потребительских ка</w:t>
        <w:softHyphen/>
        <w:t>честв (тюнинга), руб.;</w:t>
      </w:r>
    </w:p>
    <w:p>
      <w:pPr>
        <w:pStyle w:val="Normal"/>
        <w:ind w:right="310" w:firstLine="708"/>
        <w:jc w:val="both"/>
        <w:rPr/>
      </w:pPr>
      <w:r>
        <w:rPr/>
        <w:t>И - коэффициент износа составной части, подлежащей замене, %;</w:t>
      </w:r>
    </w:p>
    <w:p>
      <w:pPr>
        <w:pStyle w:val="Normal"/>
        <w:ind w:right="310" w:firstLine="708"/>
        <w:jc w:val="both"/>
        <w:rPr/>
      </w:pPr>
      <w:r>
        <w:rPr/>
        <w:t>Сутс - величина утраты товарной стоимости КТС на дату оценки, руб.</w:t>
      </w:r>
    </w:p>
    <w:p>
      <w:pPr>
        <w:pStyle w:val="Normal"/>
        <w:ind w:right="310" w:firstLine="708"/>
        <w:jc w:val="center"/>
        <w:rPr>
          <w:color w:val="000009"/>
        </w:rPr>
      </w:pPr>
      <w:r>
        <w:rPr>
          <w:color w:val="000009"/>
        </w:rPr>
      </w:r>
    </w:p>
    <w:p>
      <w:pPr>
        <w:pStyle w:val="Normal"/>
        <w:ind w:right="310" w:firstLine="708"/>
        <w:jc w:val="both"/>
        <w:rPr/>
      </w:pPr>
      <w:r>
        <w:rPr>
          <w:color w:val="000009"/>
        </w:rPr>
        <w:t>Данные, влияющие на коэффициент C1 эксперту не известны, и не могут быть получены в рамках проводимого исследования, в связи с чем данный коэффициент принят равным нулю. Так как при дальнейшем исследовании использованы аналоги подходящие по возрасту, двигателю, типу КПП, и максимально приближенные к комплектации объекта исследования, значение C2 принято равным 0% от ССР. В связи с тем, что как показало исследование, эксплуатационных и иных повреждений, которые возникли на объекте исследования до даты рассматриваемого события не выявлены, то корректировка с учетом коэффициента СУТС и расчета стоимости устранения до аварийных повреждений не проводилась. Таким образом, СДОП = 0</w:t>
      </w:r>
    </w:p>
    <w:p>
      <w:pPr>
        <w:pStyle w:val="Normal"/>
        <w:ind w:right="310" w:hanging="0"/>
        <w:jc w:val="both"/>
        <w:rPr/>
      </w:pPr>
      <w:r>
        <w:rPr/>
      </w:r>
    </w:p>
    <w:p>
      <w:pPr>
        <w:pStyle w:val="Default1"/>
        <w:ind w:firstLine="708"/>
        <w:jc w:val="both"/>
        <w:rPr>
          <w:color w:val="000009"/>
        </w:rPr>
      </w:pPr>
      <w:r>
        <w:rPr>
          <w:color w:val="000009"/>
        </w:rPr>
        <w:t xml:space="preserve">Согласно методическим рекомендациям часть III п. 3.1 «Значение средней цены соответствует наиболее низкой цене, по которой участники рынка готовы продать оцениваемое КТС, и наиболее высокой цене, по которой участники рынка готовы купить это КТС. </w:t>
      </w:r>
    </w:p>
    <w:p>
      <w:pPr>
        <w:pStyle w:val="Normal"/>
        <w:ind w:right="310" w:firstLine="708"/>
        <w:jc w:val="both"/>
        <w:rPr>
          <w:color w:val="000009"/>
        </w:rPr>
      </w:pPr>
      <w:r>
        <w:rPr>
          <w:color w:val="000009"/>
        </w:rPr>
        <w:t>Если при определении ССР используются цены предложения к продаже, то среднерыночная цена должна быть скорректирована в соответствии с нижеприведенной формулой:</w:t>
      </w:r>
    </w:p>
    <w:p>
      <w:pPr>
        <w:pStyle w:val="Normal"/>
        <w:ind w:right="310" w:firstLine="708"/>
        <w:jc w:val="both"/>
        <w:rPr/>
      </w:pPr>
      <w:r>
        <w:rPr/>
        <w:drawing>
          <wp:inline distT="0" distB="0" distL="0" distR="3810">
            <wp:extent cx="1996440" cy="485140"/>
            <wp:effectExtent l="0" t="0" r="0" b="0"/>
            <wp:docPr id="5" name="Рисунок 23" descr="2022-01-05_100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23" descr="2022-01-05_10023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48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right="310" w:firstLine="708"/>
        <w:jc w:val="both"/>
        <w:rPr/>
      </w:pPr>
      <w:r>
        <w:rPr/>
        <w:tab/>
      </w:r>
    </w:p>
    <w:p>
      <w:pPr>
        <w:pStyle w:val="Normal"/>
        <w:ind w:right="310" w:firstLine="708"/>
        <w:jc w:val="both"/>
        <w:rPr/>
      </w:pPr>
      <w:r>
        <w:rPr/>
        <w:t>где С</w:t>
      </w:r>
      <w:r>
        <w:rPr>
          <w:vertAlign w:val="subscript"/>
        </w:rPr>
        <w:t>пред</w:t>
      </w:r>
      <w:r>
        <w:rPr/>
        <w:t xml:space="preserve"> - средняя цена предложения к продаже подержанного КТС, соответ</w:t>
        <w:softHyphen/>
        <w:t>ствующего срока эксплуатации, руб.;</w:t>
      </w:r>
    </w:p>
    <w:p>
      <w:pPr>
        <w:pStyle w:val="Normal"/>
        <w:ind w:right="310" w:firstLine="708"/>
        <w:jc w:val="both"/>
        <w:rPr/>
      </w:pPr>
      <w:r>
        <w:rPr/>
        <w:t>К</w:t>
      </w:r>
      <w:r>
        <w:rPr>
          <w:vertAlign w:val="subscript"/>
        </w:rPr>
        <w:t>т</w:t>
      </w:r>
      <w:r>
        <w:rPr/>
        <w:t xml:space="preserve"> - коэффициент торга, учитывающий отличие средней цены продажи КТС от средней цены предложения к продаже </w:t>
      </w:r>
      <w:r>
        <w:rPr>
          <w:color w:val="000009"/>
        </w:rPr>
        <w:t>(как правило, значение коэффициента торга находится в пределах 0,91 – 0,99)».</w:t>
      </w:r>
    </w:p>
    <w:p>
      <w:pPr>
        <w:pStyle w:val="Default1"/>
        <w:jc w:val="both"/>
        <w:rPr/>
      </w:pPr>
      <w:r>
        <w:rPr/>
        <w:tab/>
      </w:r>
      <w:r>
        <w:rPr>
          <w:color w:val="000009"/>
        </w:rPr>
        <w:t>Техническое состояние КТС</w:t>
      </w:r>
      <w:r>
        <w:rPr/>
        <w:t xml:space="preserve"> KIA Cerato, регистрационный знак </w:t>
      </w:r>
      <w:r>
        <w:rPr>
          <w:color w:val="000000" w:themeColor="text1"/>
          <w:sz w:val="28"/>
          <w:szCs w:val="28"/>
        </w:rPr>
        <w:t>********</w:t>
      </w:r>
      <w:r>
        <w:rPr/>
        <w:t xml:space="preserve">, </w:t>
      </w:r>
      <w:r>
        <w:rPr>
          <w:color w:val="000009"/>
        </w:rPr>
        <w:t>соответствует сроку его эксплуатации.</w:t>
      </w:r>
    </w:p>
    <w:p>
      <w:pPr>
        <w:pStyle w:val="Default1"/>
        <w:jc w:val="both"/>
        <w:rPr/>
      </w:pPr>
      <w:r>
        <w:rPr>
          <w:color w:val="000009"/>
        </w:rPr>
        <w:t xml:space="preserve"> </w:t>
      </w:r>
      <w:r>
        <w:rPr>
          <w:color w:val="000009"/>
        </w:rPr>
        <w:tab/>
        <w:t xml:space="preserve">С учетом этого, а также исходя из данных о том, что на дату ДПТ - КТС не эксплуатировалось в режиме такси - значение </w:t>
      </w:r>
      <w:r>
        <w:rPr>
          <w:b/>
          <w:bCs/>
          <w:color w:val="000009"/>
        </w:rPr>
        <w:t xml:space="preserve">ПЭ </w:t>
      </w:r>
      <w:r>
        <w:rPr>
          <w:color w:val="000009"/>
        </w:rPr>
        <w:t xml:space="preserve">принимаются равными </w:t>
      </w:r>
      <w:r>
        <w:rPr>
          <w:b/>
          <w:bCs/>
          <w:color w:val="000009"/>
        </w:rPr>
        <w:t>0%.</w:t>
      </w:r>
    </w:p>
    <w:p>
      <w:pPr>
        <w:pStyle w:val="Default1"/>
        <w:ind w:firstLine="708"/>
        <w:jc w:val="both"/>
        <w:rPr>
          <w:color w:val="000009"/>
        </w:rPr>
      </w:pPr>
      <w:r>
        <w:rPr>
          <w:color w:val="000009"/>
        </w:rPr>
        <w:t xml:space="preserve">Экспертом проведено исследование вторичного рынка автомобильной техники в Регионе исследования по состоянию на дату исследования, в соответствующем временном интервале (дельта интервала составила 6 месяцев, от и до даты исследования). </w:t>
      </w:r>
    </w:p>
    <w:p>
      <w:pPr>
        <w:pStyle w:val="Default1"/>
        <w:ind w:firstLine="708"/>
        <w:jc w:val="both"/>
        <w:rPr>
          <w:color w:val="000009"/>
        </w:rPr>
      </w:pPr>
      <w:r>
        <w:rPr>
          <w:color w:val="000009"/>
        </w:rPr>
        <w:t xml:space="preserve">Исследовались цены предложений на идентичные автомобили KIA Cerato, 2020г., с аналогичными характеристиками. Все КТС исправные, не имеющие повреждений до их продажи. </w:t>
      </w:r>
    </w:p>
    <w:p>
      <w:pPr>
        <w:pStyle w:val="Normal"/>
        <w:ind w:right="310" w:firstLine="708"/>
        <w:jc w:val="both"/>
        <w:rPr/>
      </w:pPr>
      <w:r>
        <w:rPr>
          <w:color w:val="000009"/>
        </w:rPr>
        <w:t>Результаты исследования сведены в нижеприведенную таблицу 6:</w:t>
      </w:r>
    </w:p>
    <w:p>
      <w:pPr>
        <w:pStyle w:val="BodyText3"/>
        <w:spacing w:before="0" w:after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3"/>
        <w:spacing w:before="0" w:after="0"/>
        <w:ind w:firstLine="284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Таблица 4</w:t>
      </w:r>
    </w:p>
    <w:tbl>
      <w:tblPr>
        <w:tblW w:w="10490" w:type="dxa"/>
        <w:jc w:val="left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1650"/>
        <w:gridCol w:w="1105"/>
        <w:gridCol w:w="1072"/>
        <w:gridCol w:w="993"/>
        <w:gridCol w:w="4111"/>
        <w:gridCol w:w="1558"/>
      </w:tblGrid>
      <w:tr>
        <w:trPr>
          <w:trHeight w:val="20" w:hRule="atLeast"/>
        </w:trPr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Марка модель</w:t>
            </w:r>
          </w:p>
        </w:tc>
        <w:tc>
          <w:tcPr>
            <w:tcW w:w="11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Год выпуска</w:t>
            </w:r>
          </w:p>
        </w:tc>
        <w:tc>
          <w:tcPr>
            <w:tcW w:w="10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Объем двигателя/КПП</w:t>
            </w:r>
          </w:p>
        </w:tc>
        <w:tc>
          <w:tcPr>
            <w:tcW w:w="9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Пробег км.</w:t>
            </w:r>
          </w:p>
        </w:tc>
        <w:tc>
          <w:tcPr>
            <w:tcW w:w="41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Ссылка на объявление</w:t>
            </w:r>
          </w:p>
        </w:tc>
        <w:tc>
          <w:tcPr>
            <w:tcW w:w="15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Стоимость руб.</w:t>
            </w:r>
          </w:p>
        </w:tc>
      </w:tr>
      <w:tr>
        <w:trPr>
          <w:trHeight w:val="20" w:hRule="atLeast"/>
        </w:trPr>
        <w:tc>
          <w:tcPr>
            <w:tcW w:w="16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KIA Cerato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 w:themeColor="text1"/>
                <w:sz w:val="20"/>
                <w:szCs w:val="20"/>
              </w:rPr>
              <w:t>2020г.</w:t>
            </w:r>
          </w:p>
        </w:tc>
        <w:tc>
          <w:tcPr>
            <w:tcW w:w="107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2,0/AT</w:t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32500</w:t>
            </w:r>
          </w:p>
        </w:tc>
        <w:tc>
          <w:tcPr>
            <w:tcW w:w="4111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https://auto.ru/cars/used/sale/kia/cerato/1117939865-3e703277/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1970000</w:t>
            </w:r>
          </w:p>
        </w:tc>
      </w:tr>
      <w:tr>
        <w:trPr>
          <w:trHeight w:val="20" w:hRule="atLeast"/>
        </w:trPr>
        <w:tc>
          <w:tcPr>
            <w:tcW w:w="16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KIA Cerato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 w:themeColor="text1"/>
                <w:sz w:val="20"/>
                <w:szCs w:val="20"/>
              </w:rPr>
              <w:t>2020г.</w:t>
            </w:r>
          </w:p>
        </w:tc>
        <w:tc>
          <w:tcPr>
            <w:tcW w:w="107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2,0/AT</w:t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15000</w:t>
            </w:r>
          </w:p>
        </w:tc>
        <w:tc>
          <w:tcPr>
            <w:tcW w:w="4111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https://auto.ru/cars/used/sale/kia/cerato/1115668675-c8a98e7d/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2000000</w:t>
            </w:r>
          </w:p>
        </w:tc>
      </w:tr>
      <w:tr>
        <w:trPr>
          <w:trHeight w:val="20" w:hRule="atLeast"/>
        </w:trPr>
        <w:tc>
          <w:tcPr>
            <w:tcW w:w="16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KIA Cerato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 w:themeColor="text1"/>
                <w:sz w:val="20"/>
                <w:szCs w:val="20"/>
              </w:rPr>
              <w:t>2020г.</w:t>
            </w:r>
          </w:p>
        </w:tc>
        <w:tc>
          <w:tcPr>
            <w:tcW w:w="107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2,0/AT</w:t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62100</w:t>
            </w:r>
          </w:p>
        </w:tc>
        <w:tc>
          <w:tcPr>
            <w:tcW w:w="4111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https://auto.ru/cars/used/sale/kia/cerato/1117951528-1d189d3c/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2090000</w:t>
            </w:r>
          </w:p>
        </w:tc>
      </w:tr>
      <w:tr>
        <w:trPr>
          <w:trHeight w:val="20" w:hRule="atLeast"/>
        </w:trPr>
        <w:tc>
          <w:tcPr>
            <w:tcW w:w="16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KIA Cerato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 w:themeColor="text1"/>
                <w:sz w:val="20"/>
                <w:szCs w:val="20"/>
              </w:rPr>
              <w:t>2020г.</w:t>
            </w:r>
          </w:p>
        </w:tc>
        <w:tc>
          <w:tcPr>
            <w:tcW w:w="107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2,0/AT</w:t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48300</w:t>
            </w:r>
          </w:p>
        </w:tc>
        <w:tc>
          <w:tcPr>
            <w:tcW w:w="4111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https://auto.ru/cars/used/sale/kia/cerato/1117168827-9d7ad204/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1900000</w:t>
            </w:r>
          </w:p>
        </w:tc>
      </w:tr>
      <w:tr>
        <w:trPr>
          <w:trHeight w:val="20" w:hRule="atLeast"/>
        </w:trPr>
        <w:tc>
          <w:tcPr>
            <w:tcW w:w="16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KIA Cerato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 w:themeColor="text1"/>
                <w:sz w:val="20"/>
                <w:szCs w:val="20"/>
              </w:rPr>
              <w:t>2020г.</w:t>
            </w:r>
          </w:p>
        </w:tc>
        <w:tc>
          <w:tcPr>
            <w:tcW w:w="107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2,0/AT</w:t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48400</w:t>
            </w:r>
          </w:p>
        </w:tc>
        <w:tc>
          <w:tcPr>
            <w:tcW w:w="4111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https://auto.ru/cars/used/sale/kia/cerato/1117831560-8b9e7fb4/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2090000</w:t>
            </w:r>
          </w:p>
        </w:tc>
      </w:tr>
    </w:tbl>
    <w:p>
      <w:pPr>
        <w:pStyle w:val="BodyText3"/>
        <w:spacing w:before="0" w:after="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right="310" w:firstLine="708"/>
        <w:jc w:val="both"/>
        <w:rPr/>
      </w:pPr>
      <w:r>
        <w:rPr>
          <w:color w:val="000009"/>
        </w:rPr>
        <w:t>Сопоставимость данных по ценам на объекты аналоги оценивается разбросом цен предложения относительно средней цены, который не должен превышать 20%:</w:t>
      </w:r>
    </w:p>
    <w:p>
      <w:pPr>
        <w:pStyle w:val="Normal"/>
        <w:ind w:right="310" w:firstLine="708"/>
        <w:jc w:val="both"/>
        <w:rPr>
          <w:b/>
          <w:b/>
          <w:color w:val="000009"/>
        </w:rPr>
      </w:pPr>
      <w:r>
        <w:rPr>
          <w:b/>
          <w:color w:val="000009"/>
        </w:rPr>
        <w:t>(|С</w:t>
      </w:r>
      <w:r>
        <w:rPr>
          <w:b/>
          <w:color w:val="000009"/>
          <w:vertAlign w:val="subscript"/>
        </w:rPr>
        <w:t>i</w:t>
      </w:r>
      <w:r>
        <w:rPr>
          <w:b/>
          <w:color w:val="000009"/>
        </w:rPr>
        <w:t>-C</w:t>
      </w:r>
      <w:r>
        <w:rPr>
          <w:b/>
          <w:color w:val="000009"/>
          <w:vertAlign w:val="subscript"/>
        </w:rPr>
        <w:t>ПРЕДЛ</w:t>
      </w:r>
      <w:r>
        <w:rPr>
          <w:b/>
          <w:color w:val="000009"/>
        </w:rPr>
        <w:t>|/С</w:t>
      </w:r>
      <w:r>
        <w:rPr>
          <w:b/>
          <w:color w:val="000009"/>
          <w:vertAlign w:val="subscript"/>
        </w:rPr>
        <w:t>ПРЕДЛ</w:t>
      </w:r>
      <w:r>
        <w:rPr>
          <w:b/>
          <w:color w:val="000009"/>
        </w:rPr>
        <w:t>) × 100% ≤ 20%</w:t>
      </w:r>
    </w:p>
    <w:p>
      <w:pPr>
        <w:pStyle w:val="Normal"/>
        <w:ind w:right="310" w:firstLine="708"/>
        <w:jc w:val="both"/>
        <w:rPr>
          <w:color w:val="000009"/>
        </w:rPr>
      </w:pPr>
      <w:r>
        <w:rPr>
          <w:color w:val="000009"/>
        </w:rPr>
        <w:t>Все предложения удовлетворяют условию разброса цен, т.е. цена предложения всех объектов сопоставима.</w:t>
      </w:r>
    </w:p>
    <w:p>
      <w:pPr>
        <w:pStyle w:val="Normal"/>
        <w:ind w:right="310" w:firstLine="708"/>
        <w:jc w:val="both"/>
        <w:rPr>
          <w:color w:val="000009"/>
        </w:rPr>
      </w:pPr>
      <w:r>
        <w:rPr>
          <w:color w:val="000009"/>
        </w:rPr>
        <w:t>Корректировка по пробегу не вводится, так отклонение перебробега/недопробега находится до 1,5 т.км с 1 год эксплуатации.</w:t>
      </w:r>
    </w:p>
    <w:p>
      <w:pPr>
        <w:pStyle w:val="BodyText3"/>
        <w:spacing w:before="0" w:after="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right="310" w:firstLine="708"/>
        <w:jc w:val="both"/>
        <w:rPr/>
      </w:pPr>
      <w:r>
        <w:rPr/>
        <w:t>Т.к.</w:t>
      </w:r>
      <w:r>
        <w:rPr>
          <w:b/>
        </w:rPr>
        <w:t xml:space="preserve"> </w:t>
      </w:r>
      <w:r>
        <w:rPr/>
        <w:t>при определении С</w:t>
      </w:r>
      <w:r>
        <w:rPr>
          <w:vertAlign w:val="subscript"/>
        </w:rPr>
        <w:t>ср</w:t>
      </w:r>
      <w:r>
        <w:rPr/>
        <w:t xml:space="preserve"> используются цены предложения к продаже, то среднерыночная цена должна быть скорректирована в соответствии с ниже</w:t>
        <w:softHyphen/>
        <w:t>приведенной формулой:</w:t>
      </w:r>
    </w:p>
    <w:p>
      <w:pPr>
        <w:pStyle w:val="Normal"/>
        <w:ind w:right="310" w:firstLine="708"/>
        <w:jc w:val="both"/>
        <w:rPr/>
      </w:pPr>
      <w:r>
        <w:rPr/>
        <w:drawing>
          <wp:inline distT="0" distB="0" distL="0" distR="3810">
            <wp:extent cx="1996440" cy="485140"/>
            <wp:effectExtent l="0" t="0" r="0" b="0"/>
            <wp:docPr id="6" name="Рисунок 3" descr="C:\Users\smena\AppData\Local\Microsoft\Windows\INetCache\Content.Word\2022-01-05_10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3" descr="C:\Users\smena\AppData\Local\Microsoft\Windows\INetCache\Content.Word\2022-01-05_10023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48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3"/>
        <w:spacing w:before="0" w:after="0"/>
        <w:ind w:firstLine="284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ind w:right="310" w:firstLine="708"/>
        <w:jc w:val="both"/>
        <w:rPr/>
      </w:pPr>
      <w:r>
        <w:rPr/>
        <w:t>где С</w:t>
      </w:r>
      <w:r>
        <w:rPr>
          <w:vertAlign w:val="subscript"/>
        </w:rPr>
        <w:t>пред</w:t>
      </w:r>
      <w:r>
        <w:rPr/>
        <w:t xml:space="preserve"> - средняя цена предложения к продаже подержанного КТС, соответ</w:t>
        <w:softHyphen/>
        <w:t>ствующего срока эксплуатации, руб.;</w:t>
      </w:r>
    </w:p>
    <w:p>
      <w:pPr>
        <w:pStyle w:val="Normal"/>
        <w:ind w:right="310" w:firstLine="708"/>
        <w:jc w:val="both"/>
        <w:rPr/>
      </w:pPr>
      <w:r>
        <w:rPr/>
        <w:t>К</w:t>
      </w:r>
      <w:r>
        <w:rPr>
          <w:vertAlign w:val="subscript"/>
        </w:rPr>
        <w:t>т</w:t>
      </w:r>
      <w:r>
        <w:rPr/>
        <w:t xml:space="preserve"> - коэффициент торга, учитывающий отличие средней цены продажи КТС от средней цены предложения к продаже, для нашего случая коэффициент торга принимается 0,95.</w:t>
      </w:r>
    </w:p>
    <w:p>
      <w:pPr>
        <w:pStyle w:val="Normal"/>
        <w:ind w:right="310" w:firstLine="708"/>
        <w:jc w:val="both"/>
        <w:rPr/>
      </w:pPr>
      <w:r>
        <w:rPr/>
      </w:r>
    </w:p>
    <w:p>
      <w:pPr>
        <w:pStyle w:val="Normal"/>
        <w:ind w:right="310" w:firstLine="708"/>
        <w:jc w:val="both"/>
        <w:rPr>
          <w:b/>
          <w:b/>
        </w:rPr>
      </w:pPr>
      <w:r>
        <w:rPr/>
        <w:t>Рыночная стоимость автомобиля KIA Cerato</w:t>
      </w:r>
      <w:r>
        <w:rPr>
          <w:b/>
        </w:rPr>
        <w:t xml:space="preserve"> </w:t>
      </w:r>
      <w:r>
        <w:rPr>
          <w:color w:val="000000" w:themeColor="text1"/>
        </w:rPr>
        <w:t>2020г.</w:t>
      </w:r>
      <w:r>
        <w:rPr/>
        <w:t xml:space="preserve"> с учетом коэффициента торга составила</w:t>
      </w:r>
      <w:r>
        <w:rPr>
          <w:b/>
        </w:rPr>
        <w:t xml:space="preserve">     1 909 500,00 РУБ</w:t>
      </w:r>
    </w:p>
    <w:p>
      <w:pPr>
        <w:pStyle w:val="BodyText3"/>
        <w:spacing w:before="0" w:after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hd w:val="clear" w:color="auto" w:fill="FFFFFF"/>
        <w:ind w:firstLine="510"/>
        <w:jc w:val="center"/>
        <w:rPr>
          <w:b/>
          <w:b/>
          <w:color w:val="000000"/>
        </w:rPr>
      </w:pPr>
      <w:r>
        <w:rPr>
          <w:b/>
          <w:color w:val="000000"/>
        </w:rPr>
        <w:t>Определение утраты товарной стоимости</w:t>
      </w:r>
    </w:p>
    <w:p>
      <w:pPr>
        <w:pStyle w:val="Normal"/>
        <w:shd w:val="clear" w:color="auto" w:fill="FFFFFF"/>
        <w:ind w:firstLine="510"/>
        <w:jc w:val="center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4"/>
        <w:spacing w:before="0" w:after="0"/>
        <w:ind w:firstLine="567"/>
        <w:rPr>
          <w:rFonts w:ascii="Times New Roman" w:hAnsi="Times New Roman"/>
          <w:b w:val="false"/>
          <w:b w:val="false"/>
          <w:sz w:val="24"/>
        </w:rPr>
      </w:pPr>
      <w:bookmarkStart w:id="18" w:name="_Toc101688727"/>
      <w:r>
        <w:rPr>
          <w:rFonts w:ascii="Times New Roman" w:hAnsi="Times New Roman"/>
          <w:b w:val="false"/>
          <w:sz w:val="24"/>
        </w:rPr>
        <w:t>Коэффициенты утраты товарной стоимости АМТС в результате повреждения и последующих ремонтных воздействий.</w:t>
      </w:r>
      <w:bookmarkEnd w:id="18"/>
      <w:r>
        <w:rPr>
          <w:rFonts w:ascii="Times New Roman" w:hAnsi="Times New Roman"/>
          <w:b w:val="false"/>
          <w:sz w:val="24"/>
        </w:rPr>
        <w:t xml:space="preserve"> </w:t>
      </w:r>
    </w:p>
    <w:p>
      <w:pPr>
        <w:pStyle w:val="4"/>
        <w:spacing w:before="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Таблица 5</w:t>
      </w:r>
    </w:p>
    <w:tbl>
      <w:tblPr>
        <w:tblW w:w="10200" w:type="dxa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57" w:type="dxa"/>
          <w:bottom w:w="0" w:type="dxa"/>
          <w:right w:w="57" w:type="dxa"/>
        </w:tblCellMar>
        <w:tblLook w:val="04a0" w:noVBand="1" w:noHBand="0" w:lastColumn="0" w:firstColumn="1" w:lastRow="0" w:firstRow="1"/>
      </w:tblPr>
      <w:tblGrid>
        <w:gridCol w:w="550"/>
        <w:gridCol w:w="6373"/>
        <w:gridCol w:w="1105"/>
        <w:gridCol w:w="905"/>
        <w:gridCol w:w="1267"/>
      </w:tblGrid>
      <w:tr>
        <w:trPr>
          <w:trHeight w:val="28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BD4B4" w:themeFill="accent6" w:themeFillTint="66" w:val="clear"/>
            <w:vAlign w:val="bottom"/>
          </w:tcPr>
          <w:p>
            <w:pPr>
              <w:pStyle w:val="Normal"/>
              <w:spacing w:lineRule="auto" w:line="276"/>
              <w:ind w:firstLine="900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sz w:val="20"/>
                <w:szCs w:val="20"/>
                <w:lang w:eastAsia="en-US"/>
              </w:rPr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BD4B4" w:themeFill="accent6" w:themeFillTint="66" w:val="clear"/>
            <w:vAlign w:val="bottom"/>
          </w:tcPr>
          <w:p>
            <w:pPr>
              <w:pStyle w:val="Normal"/>
              <w:spacing w:lineRule="auto" w:line="276"/>
              <w:ind w:firstLine="900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sz w:val="20"/>
                <w:szCs w:val="20"/>
                <w:lang w:eastAsia="en-US"/>
              </w:rPr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BD4B4" w:themeFill="accent6" w:themeFillTint="66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Замена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BD4B4" w:themeFill="accent6" w:themeFillTint="66" w:val="clear"/>
            <w:vAlign w:val="bottom"/>
          </w:tcPr>
          <w:p>
            <w:pPr>
              <w:pStyle w:val="Normal"/>
              <w:spacing w:lineRule="auto" w:line="276"/>
              <w:ind w:firstLine="900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рр. № 2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BD4B4" w:themeFill="accent6" w:themeFillTint="66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р. № 3-4</w:t>
            </w:r>
          </w:p>
        </w:tc>
      </w:tr>
      <w:tr>
        <w:trPr>
          <w:trHeight w:val="270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Капот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0,2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0,4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Панель передка (рамка радиатора) в сборе </w:t>
            </w:r>
            <w:r>
              <w:rPr>
                <w:sz w:val="20"/>
                <w:szCs w:val="20"/>
                <w:shd w:fill="FFFFFF" w:val="clear"/>
                <w:lang w:eastAsia="en-US"/>
              </w:rPr>
              <w:t>(для съемных панелей УТС при замене - 0)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0,3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0,2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0,3</w:t>
            </w:r>
          </w:p>
        </w:tc>
      </w:tr>
      <w:tr>
        <w:trPr>
          <w:trHeight w:val="510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2.1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Поперечина передка (рамки радиатора) верхняя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0,1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0,2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2.2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Xl30"/>
              <w:pBdr/>
              <w:spacing w:lineRule="auto" w:line="276" w:beforeAutospacing="0" w:before="0" w:afterAutospacing="0" w:after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en-US"/>
              </w:rPr>
              <w:t>Поперечина передка (рамки радиатора) нижняя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0,1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0,2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Брызговик облицовки радиатора съемный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0,1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0,2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Брызговик облицовки радиатора несъемный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0,1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0,3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Крыло съемное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0,1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0,2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Крыло не съемное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0,2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0,3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Брызговик переднего крыла без лонжерона (в т.ч. в сборе с верхними усилителями)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1.0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0,4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0,6</w:t>
            </w:r>
          </w:p>
        </w:tc>
      </w:tr>
      <w:tr>
        <w:trPr>
          <w:trHeight w:val="510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Лонжерон передний без брызговика крыла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0,3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0,4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Щит передка (в т.ч. в сборе с надставкой)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0,2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0,5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9.1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Надставка щита передка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0,1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0,2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Короб воздухопритока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0,1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0,2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Панель рамы ветрового окна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0,2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0,4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11.1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Нижняя часть панели рамы ветрового окна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0,3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0,1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0,2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b/>
                <w:b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b/>
                <w:sz w:val="20"/>
                <w:szCs w:val="20"/>
                <w:lang w:eastAsia="en-US"/>
              </w:rPr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b/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Средняя часть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b/>
                <w:b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b/>
                <w:sz w:val="20"/>
                <w:szCs w:val="20"/>
                <w:lang w:eastAsia="en-US"/>
              </w:rPr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b/>
                <w:b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b/>
                <w:sz w:val="20"/>
                <w:szCs w:val="20"/>
                <w:lang w:eastAsia="en-US"/>
              </w:rPr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b/>
                <w:b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b/>
                <w:sz w:val="20"/>
                <w:szCs w:val="20"/>
                <w:lang w:eastAsia="en-US"/>
              </w:rPr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Дверь боковая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0,2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0,3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Панель крыши (в т.ч. с поперечинами)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1,2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0,4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0,7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Панель крыши боковая (конструктивно - отдельный элемент)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0,3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0,2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0,3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Боковина кузова с задним крылом (конструктивно - единый элемент)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15.1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Боковина кузова без заднего крыла (конструктивно - отдельные элементы)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1,5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>
        <w:trPr>
          <w:trHeight w:val="510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15.2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Верхняя часть боковины (от передней до задней стойки)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0,3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0,2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0,5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15.3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Стойка боковины передняя (от крыши до порога)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0,2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0,3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15.4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Стойка боковины задняя (от крыши до порога)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0,2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0,3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15.5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Стойка ветрового или заднего окна (часть передней или задней стойки боковины или рамки окна)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0,1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0,2</w:t>
            </w:r>
          </w:p>
        </w:tc>
      </w:tr>
      <w:tr>
        <w:trPr>
          <w:trHeight w:val="510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15.6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Стойка боковины центральная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0,2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0,3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15.7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Нижняя часть боковины (порог)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0,2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0,3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Пол салона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0,9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Лонжерон, поперечина пола салона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0,2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0,3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b/>
                <w:b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b/>
                <w:sz w:val="20"/>
                <w:szCs w:val="20"/>
                <w:lang w:eastAsia="en-US"/>
              </w:rPr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b/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Задняя часть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b/>
                <w:b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b/>
                <w:sz w:val="20"/>
                <w:szCs w:val="20"/>
                <w:lang w:eastAsia="en-US"/>
              </w:rPr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b/>
                <w:b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b/>
                <w:sz w:val="20"/>
                <w:szCs w:val="20"/>
                <w:lang w:eastAsia="en-US"/>
              </w:rPr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b/>
                <w:b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b/>
                <w:sz w:val="20"/>
                <w:szCs w:val="20"/>
                <w:lang w:eastAsia="en-US"/>
              </w:rPr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Дверь задка, крышка багажника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0,2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0,6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Панель задка (в т.ч. в сборе с усилителем или поперечиной)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0,3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0,1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0,4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Крыло (конструктивно - отдельный элемент)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0,3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0,2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0,3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Крыло - панель боковины задняя наружная (конструктивно - единый элемент с боковиной кузова)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0,2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0,5</w:t>
            </w:r>
          </w:p>
        </w:tc>
      </w:tr>
      <w:tr>
        <w:trPr>
          <w:trHeight w:val="510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Арка заднего колеса в сборе (наружная и внутренняя части; включая заднюю часть внутренней боковины, если конструктивно - единый элемент)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0,3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0,2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0,3</w:t>
            </w:r>
          </w:p>
        </w:tc>
      </w:tr>
      <w:tr>
        <w:trPr>
          <w:trHeight w:val="76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22.1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Арка заднего колеса наружная (включая заднюю часть внутренней боковины, если конструктивно - единый элемент)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0,1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0,2</w:t>
            </w:r>
          </w:p>
        </w:tc>
      </w:tr>
      <w:tr>
        <w:trPr>
          <w:trHeight w:val="510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22.2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Внутренняя панель боковины - задняя часть (конструктивно - отдельный элемент)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0,1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0,2</w:t>
            </w:r>
          </w:p>
        </w:tc>
      </w:tr>
      <w:tr>
        <w:trPr>
          <w:trHeight w:val="510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Пол багажного отделения (в т.ч. с надставками)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0,3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0,1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0,3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23.1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Надставка пола багажного отделения боковая или задняя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0,1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0,2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Лонжерон задний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0,3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0,7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Надставка передней поперечины заднего пола (или поперечина с надставкой)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0,2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0,3</w:t>
            </w:r>
          </w:p>
        </w:tc>
      </w:tr>
      <w:tr>
        <w:trPr>
          <w:trHeight w:val="510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Панель рамы окна задка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0,2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0,4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26.1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Нижняя поперечина рамы окна задка (в т.ч. с задней полкой)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0,1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0,2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Calibri" w:eastAsiaTheme="minorHAns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27 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Рама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27.1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Поперечина рамы передняя несъемная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0,3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0,15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0,3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27.2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Поперечина центральной части рамы или задняя несъемная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0,3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0,15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0,3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27.3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Кронштейн рамы несъемный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0,3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27.4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Лонжерон рамы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0,3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0,2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0,4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27.5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Рама - правка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b/>
                <w:b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b/>
                <w:sz w:val="20"/>
                <w:szCs w:val="20"/>
                <w:lang w:eastAsia="en-US"/>
              </w:rPr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b/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Окраска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b/>
                <w:b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b/>
                <w:sz w:val="20"/>
                <w:szCs w:val="20"/>
                <w:lang w:eastAsia="en-US"/>
              </w:rPr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b/>
                <w:b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b/>
                <w:sz w:val="20"/>
                <w:szCs w:val="20"/>
                <w:lang w:eastAsia="en-US"/>
              </w:rPr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b/>
                <w:b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b/>
                <w:sz w:val="20"/>
                <w:szCs w:val="20"/>
                <w:lang w:eastAsia="en-US"/>
              </w:rPr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28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Полная или наружная окраска кузова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sz w:val="20"/>
                <w:szCs w:val="20"/>
                <w:lang w:eastAsia="en-US"/>
              </w:rPr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sz w:val="20"/>
                <w:szCs w:val="20"/>
                <w:lang w:eastAsia="en-US"/>
              </w:rPr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Окраска одного наружного элемента кузова: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sz w:val="20"/>
                <w:szCs w:val="20"/>
                <w:lang w:eastAsia="en-US"/>
              </w:rPr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sz w:val="20"/>
                <w:szCs w:val="20"/>
                <w:lang w:eastAsia="en-US"/>
              </w:rPr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sz w:val="20"/>
                <w:szCs w:val="20"/>
                <w:lang w:eastAsia="en-US"/>
              </w:rPr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окраска первого элемента (Кутс окр (1))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0.5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sz w:val="20"/>
                <w:szCs w:val="20"/>
                <w:lang w:eastAsia="en-US"/>
              </w:rPr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sz w:val="20"/>
                <w:szCs w:val="20"/>
                <w:lang w:eastAsia="en-US"/>
              </w:rPr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окраска второго и каждого следующего элемента (Кутс окр (N-1))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0.35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sz w:val="20"/>
                <w:szCs w:val="20"/>
                <w:lang w:eastAsia="en-US"/>
              </w:rPr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sz w:val="20"/>
                <w:szCs w:val="20"/>
                <w:lang w:eastAsia="en-US"/>
              </w:rPr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b/>
                <w:b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b/>
                <w:sz w:val="20"/>
                <w:szCs w:val="20"/>
                <w:lang w:eastAsia="en-US"/>
              </w:rPr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b/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Разборка, устранение перекосов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b/>
                <w:b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b/>
                <w:sz w:val="20"/>
                <w:szCs w:val="20"/>
                <w:lang w:eastAsia="en-US"/>
              </w:rPr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b/>
                <w:b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b/>
                <w:sz w:val="20"/>
                <w:szCs w:val="20"/>
                <w:lang w:eastAsia="en-US"/>
              </w:rPr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b/>
                <w:b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b/>
                <w:sz w:val="20"/>
                <w:szCs w:val="20"/>
                <w:lang w:eastAsia="en-US"/>
              </w:rPr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Нарушение целостности заводской сборки при полной разборке салона легкового автомобиля, микроавтобуса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sz w:val="20"/>
                <w:szCs w:val="20"/>
                <w:lang w:eastAsia="en-US"/>
              </w:rPr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sz w:val="20"/>
                <w:szCs w:val="20"/>
                <w:lang w:eastAsia="en-US"/>
              </w:rPr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sz w:val="20"/>
                <w:szCs w:val="20"/>
                <w:lang w:eastAsia="en-US"/>
              </w:rPr>
              <w:t>30.1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Calibri" w:eastAsiaTheme="minorHAns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Нарушение целостности заводской сборки при полной разборке передней части салона легкового автомобиля, микроавтобуса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sz w:val="20"/>
                <w:szCs w:val="20"/>
                <w:lang w:eastAsia="en-US"/>
              </w:rPr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sz w:val="20"/>
                <w:szCs w:val="20"/>
                <w:lang w:eastAsia="en-US"/>
              </w:rPr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sz w:val="20"/>
                <w:szCs w:val="20"/>
                <w:lang w:eastAsia="en-US"/>
              </w:rPr>
              <w:t>30.2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Calibri" w:eastAsiaTheme="minorHAns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Нарушение целостности заводской сборки при полной разборке задней части салона легкового автомобиля, микроавтобуса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sz w:val="20"/>
                <w:szCs w:val="20"/>
                <w:lang w:eastAsia="en-US"/>
              </w:rPr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sz w:val="20"/>
                <w:szCs w:val="20"/>
                <w:lang w:eastAsia="en-US"/>
              </w:rPr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31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Перекосы: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sz w:val="20"/>
                <w:szCs w:val="20"/>
                <w:lang w:eastAsia="en-US"/>
              </w:rPr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sz w:val="20"/>
                <w:szCs w:val="20"/>
                <w:lang w:eastAsia="en-US"/>
              </w:rPr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sz w:val="20"/>
                <w:szCs w:val="20"/>
                <w:lang w:eastAsia="en-US"/>
              </w:rPr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Calibri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eastAsiaTheme="minorHAnsi"/>
                <w:sz w:val="20"/>
                <w:szCs w:val="20"/>
                <w:lang w:eastAsia="en-US"/>
              </w:rPr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проема</w:t>
            </w:r>
          </w:p>
        </w:tc>
        <w:tc>
          <w:tcPr>
            <w:tcW w:w="32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sz w:val="20"/>
                <w:szCs w:val="20"/>
                <w:lang w:eastAsia="en-US"/>
              </w:rPr>
              <w:t>0,5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несложный</w:t>
            </w:r>
          </w:p>
        </w:tc>
        <w:tc>
          <w:tcPr>
            <w:tcW w:w="32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средний</w:t>
            </w:r>
          </w:p>
        </w:tc>
        <w:tc>
          <w:tcPr>
            <w:tcW w:w="32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1,5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сложный</w:t>
            </w:r>
          </w:p>
        </w:tc>
        <w:tc>
          <w:tcPr>
            <w:tcW w:w="32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особо сложный</w:t>
            </w:r>
          </w:p>
        </w:tc>
        <w:tc>
          <w:tcPr>
            <w:tcW w:w="32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</w:tr>
      <w:tr>
        <w:trPr>
          <w:trHeight w:val="25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right"/>
              <w:rPr>
                <w:rFonts w:eastAsia="Calibri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eastAsiaTheme="minorHAnsi"/>
                <w:sz w:val="20"/>
                <w:szCs w:val="20"/>
                <w:lang w:eastAsia="en-US"/>
              </w:rPr>
            </w:r>
          </w:p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Замена одной или нескольких частей с идентификационной маркировкой</w:t>
            </w:r>
          </w:p>
        </w:tc>
        <w:tc>
          <w:tcPr>
            <w:tcW w:w="32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spacing w:lineRule="auto" w:line="276"/>
              <w:jc w:val="center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sz w:val="20"/>
                <w:szCs w:val="20"/>
                <w:lang w:eastAsia="en-US"/>
              </w:rPr>
              <w:t xml:space="preserve">См. пункт 3.2 части </w:t>
            </w:r>
            <w:r>
              <w:rPr>
                <w:rFonts w:eastAsia="Arial Unicode MS"/>
                <w:sz w:val="20"/>
                <w:szCs w:val="20"/>
                <w:lang w:val="en-US" w:eastAsia="en-US"/>
              </w:rPr>
              <w:t>III</w:t>
            </w:r>
            <w:r>
              <w:rPr>
                <w:rFonts w:eastAsia="Arial Unicode MS"/>
                <w:sz w:val="20"/>
                <w:szCs w:val="20"/>
                <w:lang w:eastAsia="en-US"/>
              </w:rPr>
              <w:t xml:space="preserve"> Методических рекомендаций</w:t>
            </w:r>
          </w:p>
        </w:tc>
      </w:tr>
    </w:tbl>
    <w:p>
      <w:pPr>
        <w:pStyle w:val="Normal"/>
        <w:jc w:val="center"/>
        <w:rPr>
          <w:rFonts w:cs="Arial CYR"/>
          <w:b/>
          <w:b/>
          <w:bCs/>
          <w:sz w:val="22"/>
          <w:szCs w:val="20"/>
        </w:rPr>
      </w:pPr>
      <w:r>
        <w:rPr>
          <w:rFonts w:cs="Arial CYR"/>
          <w:b/>
          <w:bCs/>
          <w:sz w:val="22"/>
          <w:szCs w:val="20"/>
        </w:rPr>
      </w:r>
    </w:p>
    <w:p>
      <w:pPr>
        <w:pStyle w:val="Normal"/>
        <w:ind w:firstLine="284"/>
        <w:jc w:val="both"/>
        <w:rPr/>
      </w:pPr>
      <w:r>
        <w:rPr/>
        <w:t>В соответствии с вышеприведенной таблицей для дальнейшего расчета принимаются следующие значения коэффициентов утраты товарной стоимости:</w:t>
      </w:r>
    </w:p>
    <w:p>
      <w:pPr>
        <w:pStyle w:val="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Таблица 6</w:t>
      </w:r>
    </w:p>
    <w:tbl>
      <w:tblPr>
        <w:tblW w:w="9820" w:type="dxa"/>
        <w:jc w:val="lef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555"/>
        <w:gridCol w:w="5819"/>
        <w:gridCol w:w="3446"/>
      </w:tblGrid>
      <w:tr>
        <w:trPr/>
        <w:tc>
          <w:tcPr>
            <w:tcW w:w="98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BD4B4" w:themeFill="accent6" w:themeFillTint="66" w:val="clear"/>
          </w:tcPr>
          <w:p>
            <w:pPr>
              <w:pStyle w:val="Normal"/>
              <w:jc w:val="center"/>
              <w:rPr/>
            </w:pPr>
            <w:r>
              <w:rPr/>
              <w:t>РАСЧЁТ УТС</w:t>
            </w:r>
          </w:p>
        </w:tc>
      </w:tr>
      <w:tr>
        <w:trPr/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Бампер задний - окраска</w:t>
            </w:r>
          </w:p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0,50</w:t>
            </w:r>
          </w:p>
        </w:tc>
      </w:tr>
      <w:tr>
        <w:trPr/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Крышка багажника - окраска </w:t>
            </w:r>
          </w:p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0,35</w:t>
            </w:r>
          </w:p>
        </w:tc>
      </w:tr>
      <w:tr>
        <w:trPr/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Панель задка - замена</w:t>
            </w:r>
          </w:p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0,30</w:t>
            </w:r>
          </w:p>
        </w:tc>
      </w:tr>
      <w:tr>
        <w:trPr/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Крыло заднее левое - окраска</w:t>
            </w:r>
          </w:p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0,35</w:t>
            </w:r>
          </w:p>
        </w:tc>
      </w:tr>
      <w:tr>
        <w:trPr/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Крыло заднее левое - ремонт</w:t>
            </w:r>
          </w:p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0,20</w:t>
            </w:r>
          </w:p>
        </w:tc>
      </w:tr>
      <w:tr>
        <w:trPr/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Крыло заднее правое - окраска</w:t>
            </w:r>
          </w:p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0,35</w:t>
            </w:r>
          </w:p>
        </w:tc>
      </w:tr>
      <w:tr>
        <w:trPr/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Крыло заднее правое - ремонт</w:t>
            </w:r>
          </w:p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0,20</w:t>
            </w:r>
          </w:p>
        </w:tc>
      </w:tr>
      <w:tr>
        <w:trPr/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r>
              <w:rPr>
                <w:color w:val="000000"/>
              </w:rPr>
              <w:t>8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Пол багажника - замена</w:t>
            </w:r>
          </w:p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0,30</w:t>
            </w:r>
          </w:p>
        </w:tc>
      </w:tr>
      <w:tr>
        <w:trPr/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Устранение перекоса проема</w:t>
            </w:r>
          </w:p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0,50</w:t>
            </w:r>
          </w:p>
        </w:tc>
      </w:tr>
      <w:tr>
        <w:trPr/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Итого ∑Кутс </w:t>
            </w:r>
          </w:p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b/>
              </w:rPr>
              <w:t>3,05</w:t>
            </w:r>
          </w:p>
        </w:tc>
      </w:tr>
    </w:tbl>
    <w:p>
      <w:pPr>
        <w:pStyle w:val="BodyText3"/>
        <w:spacing w:before="0" w:after="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3"/>
        <w:spacing w:before="0" w:after="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Таким образом, утрата товарной стоимости для исследуемого транспортного средства составляет:</w:t>
      </w:r>
    </w:p>
    <w:p>
      <w:pPr>
        <w:pStyle w:val="BodyText3"/>
        <w:spacing w:before="0" w:after="0"/>
        <w:ind w:firstLine="284"/>
        <w:jc w:val="both"/>
        <w:rPr>
          <w:b/>
          <w:b/>
          <w:sz w:val="24"/>
          <w:szCs w:val="24"/>
          <w:lang w:val="x-none"/>
        </w:rPr>
      </w:pPr>
      <w:r>
        <w:rPr>
          <w:b/>
          <w:sz w:val="24"/>
          <w:szCs w:val="24"/>
        </w:rPr>
        <w:t>С</w:t>
      </w:r>
      <w:r>
        <w:rPr>
          <w:b/>
          <w:sz w:val="24"/>
          <w:szCs w:val="24"/>
          <w:vertAlign w:val="subscript"/>
        </w:rPr>
        <w:t>утс</w:t>
      </w:r>
      <w:r>
        <w:rPr>
          <w:b/>
          <w:sz w:val="24"/>
          <w:szCs w:val="24"/>
        </w:rPr>
        <w:t xml:space="preserve"> =1 909 500,00* 3,05/100 = 58 239,75 руб. (Пятьдесят восемь тысяч двести тридцать девять рублей 75 копеек)</w:t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8"/>
          <w:szCs w:val="28"/>
          <w:u w:val="single"/>
        </w:rPr>
      </w:pPr>
      <w:r>
        <w:rPr/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8"/>
          <w:szCs w:val="28"/>
          <w:u w:val="single"/>
        </w:rPr>
      </w:pPr>
      <w:r>
        <w:rPr/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8"/>
          <w:szCs w:val="28"/>
          <w:u w:val="single"/>
        </w:rPr>
      </w:pPr>
      <w:r>
        <w:rPr/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8"/>
          <w:szCs w:val="28"/>
          <w:u w:val="single"/>
        </w:rPr>
      </w:pPr>
      <w:r>
        <w:rPr/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8"/>
          <w:szCs w:val="28"/>
          <w:u w:val="single"/>
        </w:rPr>
      </w:pPr>
      <w:r>
        <w:rPr/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8"/>
          <w:szCs w:val="28"/>
          <w:u w:val="single"/>
        </w:rPr>
      </w:pPr>
      <w:r>
        <w:rPr/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8"/>
          <w:szCs w:val="28"/>
          <w:u w:val="single"/>
        </w:rPr>
      </w:pPr>
      <w:r>
        <w:rPr/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color w:val="000000"/>
          <w:sz w:val="28"/>
          <w:szCs w:val="28"/>
          <w:u w:val="single"/>
        </w:rPr>
        <w:t>III. Выводы</w:t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numPr>
          <w:ilvl w:val="0"/>
          <w:numId w:val="1"/>
        </w:numPr>
        <w:spacing w:before="0" w:after="0"/>
        <w:jc w:val="center"/>
        <w:rPr/>
      </w:pPr>
      <w:r>
        <w:rPr>
          <w:rFonts w:cs="Times New Roman" w:ascii="Times New Roman" w:hAnsi="Times New Roman"/>
          <w:b/>
          <w:color w:val="000000"/>
          <w:sz w:val="24"/>
          <w:szCs w:val="24"/>
        </w:rPr>
        <w:t xml:space="preserve">Какова сумма утраты товарной стоимости ТС </w:t>
      </w:r>
      <w:r>
        <w:rPr>
          <w:rFonts w:cs="Times New Roman" w:ascii="Times New Roman" w:hAnsi="Times New Roman"/>
          <w:b/>
          <w:sz w:val="24"/>
          <w:szCs w:val="24"/>
        </w:rPr>
        <w:t xml:space="preserve">KIA Cerato, регистрационный знак </w:t>
      </w: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********</w:t>
      </w:r>
      <w:r>
        <w:rPr>
          <w:rFonts w:cs="Times New Roman" w:ascii="Times New Roman" w:hAnsi="Times New Roman"/>
          <w:b/>
          <w:color w:val="000000" w:themeColor="text1"/>
          <w:sz w:val="24"/>
          <w:szCs w:val="24"/>
        </w:rPr>
        <w:t xml:space="preserve">, по состоянию на </w:t>
      </w:r>
      <w:r>
        <w:rPr>
          <w:rFonts w:cs="Times New Roman" w:ascii="Times New Roman" w:hAnsi="Times New Roman"/>
          <w:b/>
          <w:sz w:val="24"/>
          <w:szCs w:val="24"/>
        </w:rPr>
        <w:t>24 января 2023г.</w:t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/>
      </w:pPr>
      <w:r>
        <w:rPr>
          <w:rFonts w:cs="Times New Roman" w:ascii="Times New Roman" w:hAnsi="Times New Roman"/>
          <w:b/>
          <w:color w:val="000000"/>
          <w:sz w:val="24"/>
          <w:szCs w:val="24"/>
        </w:rPr>
        <w:t xml:space="preserve">Ответ: Утрата товарной стоимости автомобиля, KIA Cerato, регистрационный знак </w:t>
      </w: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********</w:t>
      </w:r>
      <w:r>
        <w:rPr>
          <w:rFonts w:cs="Times New Roman" w:ascii="Times New Roman" w:hAnsi="Times New Roman"/>
          <w:b/>
          <w:color w:val="000000"/>
          <w:sz w:val="24"/>
          <w:szCs w:val="24"/>
        </w:rPr>
        <w:t xml:space="preserve"> составляет - 58 200,00 руб. (Пятьдесят восемь тысяч двести рублей 00 копеек).</w:t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tabs>
          <w:tab w:val="clear" w:pos="708"/>
          <w:tab w:val="left" w:pos="-1260" w:leader="none"/>
          <w:tab w:val="left" w:pos="-900" w:leader="none"/>
          <w:tab w:val="left" w:pos="1440" w:leader="none"/>
        </w:tabs>
        <w:ind w:left="540" w:firstLine="453"/>
        <w:rPr>
          <w:b/>
          <w:b/>
          <w:bCs/>
          <w:color w:val="000000"/>
        </w:rPr>
      </w:pPr>
      <w:r>
        <w:rPr>
          <w:b/>
          <w:bCs/>
          <w:color w:val="000000"/>
        </w:rPr>
        <w:t>Эксперт-техник:                                                                   _________ М.А. Григорьев</w:t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  <w:u w:val="single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u w:val="single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  <w:t>ПРИЛОЖЕНИЯ</w:t>
      </w:r>
    </w:p>
    <w:p>
      <w:pPr>
        <w:pStyle w:val="Normal"/>
        <w:tabs>
          <w:tab w:val="clear" w:pos="708"/>
          <w:tab w:val="left" w:pos="-1260" w:leader="none"/>
          <w:tab w:val="left" w:pos="-900" w:leader="none"/>
          <w:tab w:val="left" w:pos="1440" w:leader="none"/>
        </w:tabs>
        <w:ind w:left="540" w:firstLine="453"/>
        <w:rPr>
          <w:b/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</w:r>
    </w:p>
    <w:p>
      <w:pPr>
        <w:pStyle w:val="19"/>
        <w:tabs>
          <w:tab w:val="clear" w:pos="708"/>
          <w:tab w:val="left" w:pos="709" w:leader="none"/>
        </w:tabs>
        <w:jc w:val="both"/>
        <w:textAlignment w:val="auto"/>
        <w:rPr>
          <w:rFonts w:ascii="Times New Roman" w:hAnsi="Times New Roman"/>
          <w:sz w:val="24"/>
          <w:szCs w:val="22"/>
        </w:rPr>
      </w:pPr>
      <w:r>
        <w:rPr>
          <w:rFonts w:ascii="Times New Roman" w:hAnsi="Times New Roman"/>
          <w:sz w:val="24"/>
          <w:szCs w:val="22"/>
        </w:rPr>
        <w:t>1. Акт осмотра от 07 февраля 2023г. (Приложение№1);</w:t>
      </w:r>
    </w:p>
    <w:p>
      <w:pPr>
        <w:pStyle w:val="19"/>
        <w:tabs>
          <w:tab w:val="clear" w:pos="708"/>
          <w:tab w:val="left" w:pos="709" w:leader="none"/>
        </w:tabs>
        <w:jc w:val="both"/>
        <w:textAlignment w:val="auto"/>
        <w:rPr>
          <w:rFonts w:ascii="Times New Roman" w:hAnsi="Times New Roman"/>
          <w:sz w:val="24"/>
          <w:szCs w:val="22"/>
        </w:rPr>
      </w:pPr>
      <w:r>
        <w:rPr>
          <w:rFonts w:ascii="Times New Roman" w:hAnsi="Times New Roman"/>
          <w:sz w:val="24"/>
          <w:szCs w:val="22"/>
        </w:rPr>
        <w:t xml:space="preserve">2. Документ, подтверждающий факт ДТП от </w:t>
      </w:r>
      <w:r>
        <w:rPr>
          <w:rFonts w:ascii="Times New Roman" w:hAnsi="Times New Roman"/>
          <w:sz w:val="24"/>
          <w:szCs w:val="24"/>
        </w:rPr>
        <w:t xml:space="preserve">24 января 2023г. </w:t>
      </w:r>
      <w:r>
        <w:rPr>
          <w:rFonts w:ascii="Times New Roman" w:hAnsi="Times New Roman"/>
          <w:sz w:val="24"/>
          <w:szCs w:val="22"/>
        </w:rPr>
        <w:t>(Приложение№2);</w:t>
      </w:r>
    </w:p>
    <w:p>
      <w:pPr>
        <w:pStyle w:val="19"/>
        <w:tabs>
          <w:tab w:val="clear" w:pos="708"/>
          <w:tab w:val="left" w:pos="709" w:leader="none"/>
        </w:tabs>
        <w:jc w:val="both"/>
        <w:textAlignment w:val="auto"/>
        <w:rPr>
          <w:rFonts w:ascii="Times New Roman" w:hAnsi="Times New Roman"/>
          <w:sz w:val="24"/>
          <w:szCs w:val="22"/>
        </w:rPr>
      </w:pPr>
      <w:r>
        <w:rPr>
          <w:rFonts w:ascii="Times New Roman" w:hAnsi="Times New Roman"/>
          <w:sz w:val="24"/>
          <w:szCs w:val="22"/>
        </w:rPr>
        <w:t>3. Документы специалистов (Приложение №3).</w:t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  <w:t>ПРИЛОЖЕНИЕ №1</w:t>
      </w:r>
    </w:p>
    <w:p>
      <w:pPr>
        <w:pStyle w:val="Normal"/>
        <w:jc w:val="center"/>
        <w:rPr>
          <w:bCs/>
          <w:sz w:val="20"/>
          <w:szCs w:val="20"/>
        </w:rPr>
      </w:pPr>
      <w:r>
        <w:rPr/>
        <w:drawing>
          <wp:inline distT="0" distB="0" distL="0" distR="0">
            <wp:extent cx="4495800" cy="1009650"/>
            <wp:effectExtent l="0" t="0" r="0" b="0"/>
            <wp:docPr id="7" name="Рисунок 118" descr="Itog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18" descr="Itog1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 w:val="20"/>
          <w:szCs w:val="20"/>
        </w:rPr>
        <w:t xml:space="preserve"> </w:t>
      </w:r>
    </w:p>
    <w:p>
      <w:pPr>
        <w:pStyle w:val="Normal"/>
        <w:jc w:val="center"/>
        <w:rPr/>
      </w:pPr>
      <w:r>
        <w:rPr>
          <w:bCs/>
          <w:sz w:val="20"/>
          <w:szCs w:val="20"/>
        </w:rPr>
        <w:t>ОГРН 1127747107553</w:t>
      </w:r>
      <w:r>
        <w:rPr>
          <w:bCs/>
          <w:sz w:val="20"/>
          <w:szCs w:val="20"/>
        </w:rPr>
        <w:fldChar w:fldCharType="begin"/>
      </w:r>
      <w:r>
        <w:rPr>
          <w:sz w:val="20"/>
          <w:szCs w:val="20"/>
          <w:bCs/>
        </w:rPr>
        <w:instrText> MERGEFIELD ОГРН_оценщикаконтрактора </w:instrText>
      </w:r>
      <w:r>
        <w:rPr>
          <w:sz w:val="20"/>
          <w:szCs w:val="20"/>
          <w:bCs/>
        </w:rPr>
        <w:fldChar w:fldCharType="separate"/>
      </w:r>
      <w:r>
        <w:rPr>
          <w:sz w:val="20"/>
          <w:szCs w:val="20"/>
          <w:bCs/>
        </w:rPr>
      </w:r>
      <w:r>
        <w:rPr>
          <w:sz w:val="20"/>
          <w:szCs w:val="20"/>
          <w:bCs/>
        </w:rPr>
        <w:fldChar w:fldCharType="end"/>
      </w:r>
      <w:r>
        <w:rPr>
          <w:bCs/>
          <w:sz w:val="20"/>
          <w:szCs w:val="20"/>
        </w:rPr>
        <w:t xml:space="preserve">, ИНН/КПП 7709915321/770901001, </w:t>
        <w:br/>
        <w:t>Факт. адрес: РФ, 115280, г. Москва, ул. Ленинская Слобода, д. 19</w:t>
        <w:br/>
        <w:t xml:space="preserve">Тел. </w:t>
      </w:r>
      <w:r>
        <w:rPr>
          <w:bCs/>
          <w:sz w:val="20"/>
          <w:szCs w:val="20"/>
        </w:rPr>
        <w:fldChar w:fldCharType="begin"/>
      </w:r>
      <w:r>
        <w:rPr>
          <w:sz w:val="20"/>
          <w:szCs w:val="20"/>
          <w:bCs/>
        </w:rPr>
        <w:instrText> MERGEFIELD Телефон_с_кодом_и_факс_с_кодом </w:instrText>
      </w:r>
      <w:r>
        <w:rPr>
          <w:sz w:val="20"/>
          <w:szCs w:val="20"/>
          <w:bCs/>
        </w:rPr>
        <w:fldChar w:fldCharType="separate"/>
      </w:r>
      <w:r>
        <w:rPr>
          <w:sz w:val="20"/>
          <w:szCs w:val="20"/>
          <w:bCs/>
        </w:rPr>
        <w:t>(495) 795-16-</w:t>
      </w:r>
      <w:r>
        <w:rPr>
          <w:sz w:val="20"/>
          <w:szCs w:val="20"/>
          <w:bCs/>
        </w:rPr>
        <w:fldChar w:fldCharType="end"/>
      </w:r>
      <w:r>
        <w:rPr>
          <w:bCs/>
          <w:sz w:val="20"/>
          <w:szCs w:val="20"/>
        </w:rPr>
        <w:t xml:space="preserve">50, </w:t>
      </w:r>
      <w:r>
        <w:rPr>
          <w:bCs/>
          <w:sz w:val="20"/>
          <w:szCs w:val="20"/>
          <w:lang w:val="en-US"/>
        </w:rPr>
        <w:t>e</w:t>
      </w:r>
      <w:r>
        <w:rPr>
          <w:bCs/>
          <w:sz w:val="20"/>
          <w:szCs w:val="20"/>
        </w:rPr>
        <w:t>-</w:t>
      </w:r>
      <w:r>
        <w:rPr>
          <w:bCs/>
          <w:sz w:val="20"/>
          <w:szCs w:val="20"/>
          <w:lang w:val="en-US"/>
        </w:rPr>
        <w:t>mail</w:t>
      </w:r>
      <w:r>
        <w:rPr>
          <w:bCs/>
          <w:sz w:val="20"/>
          <w:szCs w:val="20"/>
        </w:rPr>
        <w:t xml:space="preserve">: </w:t>
      </w:r>
      <w:r>
        <w:rPr>
          <w:bCs/>
          <w:sz w:val="20"/>
          <w:szCs w:val="20"/>
          <w:lang w:val="en-US"/>
        </w:rPr>
        <w:t>euro</w:t>
      </w:r>
      <w:r>
        <w:rPr>
          <w:bCs/>
          <w:sz w:val="20"/>
          <w:szCs w:val="20"/>
        </w:rPr>
        <w:t>.</w:t>
      </w:r>
      <w:r>
        <w:rPr>
          <w:bCs/>
          <w:sz w:val="20"/>
          <w:szCs w:val="20"/>
          <w:lang w:val="en-US"/>
        </w:rPr>
        <w:t>otsenka</w:t>
      </w:r>
      <w:r>
        <w:rPr>
          <w:bCs/>
          <w:sz w:val="20"/>
          <w:szCs w:val="20"/>
        </w:rPr>
        <w:t>@</w:t>
      </w:r>
      <w:r>
        <w:rPr>
          <w:bCs/>
          <w:sz w:val="20"/>
          <w:szCs w:val="20"/>
          <w:lang w:val="en-US"/>
        </w:rPr>
        <w:t>gmail</w:t>
      </w:r>
      <w:r>
        <w:rPr>
          <w:bCs/>
          <w:sz w:val="20"/>
          <w:szCs w:val="20"/>
        </w:rPr>
        <w:t>.</w:t>
      </w:r>
      <w:r>
        <w:rPr>
          <w:bCs/>
          <w:sz w:val="20"/>
          <w:szCs w:val="20"/>
          <w:lang w:val="en-US"/>
        </w:rPr>
        <w:t>com</w:t>
      </w:r>
    </w:p>
    <w:p>
      <w:pPr>
        <w:pStyle w:val="Normal"/>
        <w:rPr>
          <w:bCs/>
        </w:rPr>
      </w:pPr>
      <w:r>
        <w:rPr>
          <w:bCs/>
        </w:rPr>
      </w:r>
    </w:p>
    <w:p>
      <w:pPr>
        <w:pStyle w:val="Normal"/>
        <w:jc w:val="center"/>
        <w:rPr>
          <w:b/>
          <w:b/>
          <w:bCs/>
          <w:i/>
          <w:i/>
          <w:sz w:val="32"/>
          <w:szCs w:val="32"/>
        </w:rPr>
      </w:pPr>
      <w:r>
        <w:rPr>
          <w:b/>
          <w:bCs/>
          <w:i/>
          <w:sz w:val="32"/>
          <w:szCs w:val="32"/>
        </w:rPr>
        <w:t>АКТ № 5806-0223</w:t>
      </w:r>
    </w:p>
    <w:p>
      <w:pPr>
        <w:pStyle w:val="Normal"/>
        <w:jc w:val="center"/>
        <w:rPr>
          <w:b/>
          <w:b/>
          <w:bCs/>
          <w:i/>
          <w:i/>
          <w:sz w:val="32"/>
          <w:szCs w:val="32"/>
        </w:rPr>
      </w:pPr>
      <w:r>
        <w:rPr>
          <w:b/>
          <w:bCs/>
          <w:i/>
          <w:sz w:val="32"/>
          <w:szCs w:val="32"/>
        </w:rPr>
        <w:t>ОСМОТРА ТРАНСПОРТНОГО СРЕДСТВА (ТС)</w:t>
      </w:r>
    </w:p>
    <w:p>
      <w:pPr>
        <w:pStyle w:val="Normal"/>
        <w:jc w:val="right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</w:p>
    <w:p>
      <w:pPr>
        <w:pStyle w:val="Normal"/>
        <w:jc w:val="both"/>
        <w:rPr>
          <w:b/>
          <w:b/>
          <w:sz w:val="20"/>
          <w:szCs w:val="20"/>
        </w:rPr>
      </w:pPr>
      <w:r>
        <w:rPr>
          <w:sz w:val="20"/>
          <w:szCs w:val="20"/>
        </w:rPr>
        <w:t xml:space="preserve">Дата осмотра: </w:t>
      </w:r>
      <w:r>
        <w:rPr>
          <w:b/>
          <w:sz w:val="20"/>
          <w:szCs w:val="20"/>
        </w:rPr>
        <w:t xml:space="preserve">07.02.2023                                                                                                           </w:t>
      </w:r>
      <w:r>
        <w:rPr>
          <w:sz w:val="20"/>
          <w:szCs w:val="20"/>
        </w:rPr>
        <w:t>Начало осмотра: 16 ч. 00 мин.</w:t>
      </w:r>
    </w:p>
    <w:p>
      <w:pPr>
        <w:pStyle w:val="Normal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Дата повреждения: </w:t>
      </w:r>
      <w:r>
        <w:rPr>
          <w:b/>
          <w:sz w:val="20"/>
          <w:szCs w:val="20"/>
        </w:rPr>
        <w:t>24.01.2023</w:t>
      </w:r>
      <w:r>
        <w:rPr>
          <w:sz w:val="20"/>
          <w:szCs w:val="20"/>
        </w:rPr>
        <w:tab/>
        <w:t xml:space="preserve">                                                                                             Окончание осмотра: 17 ч. 00 мин.</w:t>
      </w:r>
    </w:p>
    <w:p>
      <w:pPr>
        <w:pStyle w:val="Normal"/>
        <w:jc w:val="both"/>
        <w:rPr>
          <w:b/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Normal"/>
        <w:rPr>
          <w:color w:val="FF0000"/>
          <w:sz w:val="20"/>
          <w:szCs w:val="20"/>
        </w:rPr>
      </w:pPr>
      <w:r>
        <w:rPr>
          <w:sz w:val="20"/>
          <w:szCs w:val="20"/>
        </w:rPr>
        <w:t>Место осмотра: г. Москва, ул. Тамбовская, дом 1</w:t>
      </w:r>
    </w:p>
    <w:p>
      <w:pPr>
        <w:pStyle w:val="Normal"/>
        <w:jc w:val="both"/>
        <w:rPr/>
      </w:pPr>
      <w:r>
        <w:rPr>
          <w:sz w:val="20"/>
          <w:szCs w:val="20"/>
        </w:rPr>
        <w:t>Мною, экспертом-техником</w:t>
      </w:r>
      <w:r>
        <w:rPr/>
        <w:t xml:space="preserve"> </w:t>
      </w:r>
      <w:r>
        <w:rPr>
          <w:sz w:val="20"/>
          <w:szCs w:val="20"/>
        </w:rPr>
        <w:t xml:space="preserve">Григорьевым М.А. на основании договора № 5806-0223 от </w:t>
      </w:r>
      <w:r>
        <w:rPr>
          <w:color w:val="000000"/>
          <w:sz w:val="20"/>
          <w:szCs w:val="20"/>
        </w:rPr>
        <w:t>07.02.2023г.,</w:t>
      </w:r>
      <w:r>
        <w:rPr>
          <w:sz w:val="20"/>
          <w:szCs w:val="20"/>
        </w:rPr>
        <w:t xml:space="preserve"> произведен осмотр транспортного средства. Заказчиком, согласно предоставленным документам, является: </w:t>
      </w:r>
      <w:r>
        <w:rPr>
          <w:b/>
          <w:color w:val="000000" w:themeColor="text1"/>
          <w:sz w:val="28"/>
          <w:szCs w:val="28"/>
        </w:rPr>
        <w:t>********</w:t>
      </w:r>
    </w:p>
    <w:p>
      <w:pPr>
        <w:pStyle w:val="Normal"/>
        <w:ind w:firstLine="360"/>
        <w:jc w:val="center"/>
        <w:rPr>
          <w:b/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Normal"/>
        <w:ind w:firstLine="360"/>
        <w:jc w:val="center"/>
        <w:rPr>
          <w:b/>
          <w:b/>
          <w:sz w:val="20"/>
          <w:szCs w:val="20"/>
        </w:rPr>
      </w:pPr>
      <w:r>
        <w:rPr>
          <w:b/>
          <w:sz w:val="20"/>
          <w:szCs w:val="20"/>
        </w:rPr>
        <w:t>Данные транспортного средства:</w:t>
      </w:r>
    </w:p>
    <w:tbl>
      <w:tblPr>
        <w:tblpPr w:bottomFromText="0" w:horzAnchor="margin" w:leftFromText="180" w:rightFromText="180" w:tblpX="-3" w:tblpY="41" w:topFromText="0" w:vertAnchor="text"/>
        <w:tblW w:w="10456" w:type="dxa"/>
        <w:jc w:val="lef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2088"/>
        <w:gridCol w:w="2130"/>
        <w:gridCol w:w="570"/>
        <w:gridCol w:w="2408"/>
        <w:gridCol w:w="3259"/>
      </w:tblGrid>
      <w:tr>
        <w:trPr/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Марка, модель</w:t>
            </w:r>
          </w:p>
        </w:tc>
        <w:tc>
          <w:tcPr>
            <w:tcW w:w="2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KIA BD (CERATO, FORTE)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Регистрационный знак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4536" w:leader="none"/>
              </w:tabs>
              <w:snapToGrid w:val="false"/>
              <w:ind w:right="2160" w:hanging="0"/>
              <w:jc w:val="both"/>
              <w:rPr/>
            </w:pPr>
            <w:r>
              <w:rPr>
                <w:b/>
                <w:color w:val="000000" w:themeColor="text1"/>
                <w:sz w:val="28"/>
                <w:szCs w:val="28"/>
              </w:rPr>
              <w:t>******</w:t>
            </w:r>
          </w:p>
        </w:tc>
      </w:tr>
      <w:tr>
        <w:trPr/>
        <w:tc>
          <w:tcPr>
            <w:tcW w:w="2088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Категория ТС</w:t>
            </w:r>
          </w:p>
        </w:tc>
        <w:tc>
          <w:tcPr>
            <w:tcW w:w="2700" w:type="dxa"/>
            <w:gridSpan w:val="2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В</w:t>
            </w:r>
          </w:p>
        </w:tc>
        <w:tc>
          <w:tcPr>
            <w:tcW w:w="2408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кузова/шасси (рамы)</w:t>
            </w:r>
          </w:p>
        </w:tc>
        <w:tc>
          <w:tcPr>
            <w:tcW w:w="32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4536" w:leader="none"/>
              </w:tabs>
              <w:snapToGrid w:val="false"/>
              <w:ind w:right="2160" w:hanging="0"/>
              <w:jc w:val="both"/>
              <w:rPr/>
            </w:pPr>
            <w:r>
              <w:rPr>
                <w:b/>
                <w:color w:val="000000" w:themeColor="text1"/>
                <w:sz w:val="28"/>
                <w:szCs w:val="28"/>
              </w:rPr>
              <w:t>******</w:t>
            </w:r>
          </w:p>
        </w:tc>
      </w:tr>
      <w:tr>
        <w:trPr/>
        <w:tc>
          <w:tcPr>
            <w:tcW w:w="2088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 вып./дата экспл.</w:t>
            </w:r>
          </w:p>
        </w:tc>
        <w:tc>
          <w:tcPr>
            <w:tcW w:w="2700" w:type="dxa"/>
            <w:gridSpan w:val="2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2020</w:t>
            </w:r>
          </w:p>
        </w:tc>
        <w:tc>
          <w:tcPr>
            <w:tcW w:w="2408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Цвет / тип ЛКП</w:t>
            </w:r>
          </w:p>
        </w:tc>
        <w:tc>
          <w:tcPr>
            <w:tcW w:w="32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Красный Перламутр</w:t>
            </w:r>
          </w:p>
        </w:tc>
      </w:tr>
      <w:tr>
        <w:trPr/>
        <w:tc>
          <w:tcPr>
            <w:tcW w:w="2088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VIN</w:t>
            </w:r>
            <w:r>
              <w:rPr>
                <w:sz w:val="20"/>
                <w:szCs w:val="20"/>
              </w:rPr>
              <w:t>код</w:t>
            </w:r>
          </w:p>
        </w:tc>
        <w:tc>
          <w:tcPr>
            <w:tcW w:w="2700" w:type="dxa"/>
            <w:gridSpan w:val="2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4536" w:leader="none"/>
              </w:tabs>
              <w:snapToGrid w:val="false"/>
              <w:ind w:right="2160" w:hanging="0"/>
              <w:jc w:val="both"/>
              <w:rPr>
                <w:b/>
                <w:b/>
                <w:color w:val="000000" w:themeColor="text1"/>
                <w:sz w:val="28"/>
                <w:szCs w:val="28"/>
                <w:lang w:val="en-US"/>
              </w:rPr>
            </w:pPr>
            <w:r>
              <w:rPr/>
            </w:r>
          </w:p>
        </w:tc>
        <w:tc>
          <w:tcPr>
            <w:tcW w:w="2408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Св-во о регистрации</w:t>
            </w:r>
          </w:p>
        </w:tc>
        <w:tc>
          <w:tcPr>
            <w:tcW w:w="32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4536" w:leader="none"/>
              </w:tabs>
              <w:snapToGrid w:val="false"/>
              <w:ind w:right="2160" w:hanging="0"/>
              <w:jc w:val="both"/>
              <w:rPr/>
            </w:pPr>
            <w:r>
              <w:rPr>
                <w:b/>
                <w:color w:val="000000" w:themeColor="text1"/>
                <w:sz w:val="28"/>
                <w:szCs w:val="28"/>
              </w:rPr>
              <w:t>******</w:t>
            </w:r>
          </w:p>
        </w:tc>
      </w:tr>
      <w:tr>
        <w:trPr/>
        <w:tc>
          <w:tcPr>
            <w:tcW w:w="2088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Модель/№ двигателя</w:t>
            </w:r>
          </w:p>
        </w:tc>
        <w:tc>
          <w:tcPr>
            <w:tcW w:w="2700" w:type="dxa"/>
            <w:gridSpan w:val="2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408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Паспорт ТС</w:t>
            </w:r>
          </w:p>
        </w:tc>
        <w:tc>
          <w:tcPr>
            <w:tcW w:w="32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</w:tr>
      <w:tr>
        <w:trPr/>
        <w:tc>
          <w:tcPr>
            <w:tcW w:w="2088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Рабочий объем</w:t>
            </w:r>
          </w:p>
        </w:tc>
        <w:tc>
          <w:tcPr>
            <w:tcW w:w="27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Собственник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4536" w:leader="none"/>
              </w:tabs>
              <w:snapToGrid w:val="false"/>
              <w:ind w:right="2160" w:hanging="0"/>
              <w:jc w:val="both"/>
              <w:rPr/>
            </w:pPr>
            <w:r>
              <w:rPr>
                <w:b/>
                <w:color w:val="000000" w:themeColor="text1"/>
                <w:sz w:val="28"/>
                <w:szCs w:val="28"/>
              </w:rPr>
              <w:t>******</w:t>
            </w:r>
          </w:p>
        </w:tc>
      </w:tr>
      <w:tr>
        <w:trPr/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Мощность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150 л.с.</w:t>
            </w: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Пробег: </w:t>
            </w:r>
            <w:r>
              <w:rPr>
                <w:b/>
                <w:sz w:val="20"/>
                <w:szCs w:val="20"/>
              </w:rPr>
              <w:t>58072 км.</w:t>
            </w:r>
            <w:r>
              <w:rPr>
                <w:sz w:val="20"/>
                <w:szCs w:val="20"/>
              </w:rPr>
              <w:t>(показания одометра на момент осмотра)</w:t>
            </w:r>
          </w:p>
        </w:tc>
      </w:tr>
    </w:tbl>
    <w:p>
      <w:pPr>
        <w:pStyle w:val="Normal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firstLine="360"/>
        <w:jc w:val="center"/>
        <w:rPr>
          <w:sz w:val="20"/>
          <w:szCs w:val="20"/>
        </w:rPr>
      </w:pPr>
      <w:r>
        <w:rPr>
          <w:b/>
          <w:sz w:val="20"/>
          <w:szCs w:val="20"/>
        </w:rPr>
        <w:t>Комплектация транспортного средства:</w:t>
      </w:r>
    </w:p>
    <w:tbl>
      <w:tblPr>
        <w:tblW w:w="10494" w:type="dxa"/>
        <w:jc w:val="left"/>
        <w:tblInd w:w="0" w:type="dxa"/>
        <w:tblBorders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426"/>
        <w:gridCol w:w="947"/>
        <w:gridCol w:w="469"/>
        <w:gridCol w:w="1766"/>
        <w:gridCol w:w="506"/>
        <w:gridCol w:w="3068"/>
        <w:gridCol w:w="476"/>
        <w:gridCol w:w="2834"/>
      </w:tblGrid>
      <w:tr>
        <w:trPr>
          <w:trHeight w:val="285" w:hRule="atLeast"/>
        </w:trPr>
        <w:tc>
          <w:tcPr>
            <w:tcW w:w="3608" w:type="dxa"/>
            <w:gridSpan w:val="4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Название:_____________________________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30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Обивка салона ткань/велюр</w:t>
            </w:r>
          </w:p>
        </w:tc>
        <w:tc>
          <w:tcPr>
            <w:tcW w:w="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</w:p>
        </w:tc>
        <w:tc>
          <w:tcPr>
            <w:tcW w:w="28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Кондиционер</w:t>
            </w:r>
          </w:p>
        </w:tc>
      </w:tr>
      <w:tr>
        <w:trPr>
          <w:trHeight w:val="270" w:hRule="atLeast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</w:p>
        </w:tc>
        <w:tc>
          <w:tcPr>
            <w:tcW w:w="9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Вариатор</w:t>
            </w:r>
          </w:p>
        </w:tc>
        <w:tc>
          <w:tcPr>
            <w:tcW w:w="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</w:p>
        </w:tc>
        <w:tc>
          <w:tcPr>
            <w:tcW w:w="17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Роботизирован</w:t>
            </w:r>
          </w:p>
        </w:tc>
        <w:tc>
          <w:tcPr>
            <w:tcW w:w="50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</w:p>
        </w:tc>
        <w:tc>
          <w:tcPr>
            <w:tcW w:w="30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Обивка салона кожа</w:t>
            </w:r>
          </w:p>
        </w:tc>
        <w:tc>
          <w:tcPr>
            <w:tcW w:w="47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28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Климат-контроль</w:t>
            </w:r>
          </w:p>
        </w:tc>
      </w:tr>
      <w:tr>
        <w:trPr>
          <w:trHeight w:val="270" w:hRule="atLeast"/>
        </w:trPr>
        <w:tc>
          <w:tcPr>
            <w:tcW w:w="4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9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ABS</w:t>
            </w:r>
          </w:p>
        </w:tc>
        <w:tc>
          <w:tcPr>
            <w:tcW w:w="46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17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ESP</w:t>
            </w:r>
          </w:p>
        </w:tc>
        <w:tc>
          <w:tcPr>
            <w:tcW w:w="50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30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Эл привод стекол </w:t>
            </w:r>
          </w:p>
        </w:tc>
        <w:tc>
          <w:tcPr>
            <w:tcW w:w="47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</w:p>
        </w:tc>
        <w:tc>
          <w:tcPr>
            <w:tcW w:w="28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Трансмиссия  4WD</w:t>
            </w:r>
          </w:p>
        </w:tc>
      </w:tr>
      <w:tr>
        <w:trPr>
          <w:trHeight w:val="270" w:hRule="atLeast"/>
        </w:trPr>
        <w:tc>
          <w:tcPr>
            <w:tcW w:w="4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9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ПТФ</w:t>
            </w:r>
          </w:p>
        </w:tc>
        <w:tc>
          <w:tcPr>
            <w:tcW w:w="46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17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ГУР/ЭУР</w:t>
            </w:r>
          </w:p>
        </w:tc>
        <w:tc>
          <w:tcPr>
            <w:tcW w:w="50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</w:p>
        </w:tc>
        <w:tc>
          <w:tcPr>
            <w:tcW w:w="30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Ксенон фары </w:t>
            </w:r>
          </w:p>
        </w:tc>
        <w:tc>
          <w:tcPr>
            <w:tcW w:w="47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</w:p>
        </w:tc>
        <w:tc>
          <w:tcPr>
            <w:tcW w:w="28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Колесные диски литые</w:t>
            </w:r>
          </w:p>
        </w:tc>
      </w:tr>
      <w:tr>
        <w:trPr>
          <w:trHeight w:val="270" w:hRule="atLeast"/>
        </w:trPr>
        <w:tc>
          <w:tcPr>
            <w:tcW w:w="4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</w:p>
        </w:tc>
        <w:tc>
          <w:tcPr>
            <w:tcW w:w="9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МКПП</w:t>
            </w:r>
          </w:p>
        </w:tc>
        <w:tc>
          <w:tcPr>
            <w:tcW w:w="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17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АКПП</w:t>
            </w:r>
          </w:p>
        </w:tc>
        <w:tc>
          <w:tcPr>
            <w:tcW w:w="50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30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Датчики парковки задние</w:t>
            </w:r>
          </w:p>
        </w:tc>
        <w:tc>
          <w:tcPr>
            <w:tcW w:w="47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</w:p>
        </w:tc>
        <w:tc>
          <w:tcPr>
            <w:tcW w:w="28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Защитные колпаки колес</w:t>
            </w:r>
          </w:p>
        </w:tc>
      </w:tr>
      <w:tr>
        <w:trPr>
          <w:trHeight w:val="240" w:hRule="atLeast"/>
        </w:trPr>
        <w:tc>
          <w:tcPr>
            <w:tcW w:w="4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3182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Airbag водителя</w:t>
            </w:r>
          </w:p>
        </w:tc>
        <w:tc>
          <w:tcPr>
            <w:tcW w:w="50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30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Зеркала з/в с электроприводом</w:t>
            </w:r>
          </w:p>
        </w:tc>
        <w:tc>
          <w:tcPr>
            <w:tcW w:w="47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</w:p>
        </w:tc>
        <w:tc>
          <w:tcPr>
            <w:tcW w:w="28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Накладки порогов и арок</w:t>
            </w:r>
          </w:p>
        </w:tc>
      </w:tr>
      <w:tr>
        <w:trPr>
          <w:trHeight w:val="240" w:hRule="atLeast"/>
        </w:trPr>
        <w:tc>
          <w:tcPr>
            <w:tcW w:w="4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3182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Airbag пассажира</w:t>
            </w:r>
          </w:p>
        </w:tc>
        <w:tc>
          <w:tcPr>
            <w:tcW w:w="50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30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Зеркала з/в с подогревом</w:t>
            </w:r>
          </w:p>
        </w:tc>
        <w:tc>
          <w:tcPr>
            <w:tcW w:w="47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</w:p>
        </w:tc>
        <w:tc>
          <w:tcPr>
            <w:tcW w:w="28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Стеклоомыватели фар</w:t>
            </w:r>
          </w:p>
        </w:tc>
      </w:tr>
      <w:tr>
        <w:trPr>
          <w:trHeight w:val="240" w:hRule="atLeast"/>
        </w:trPr>
        <w:tc>
          <w:tcPr>
            <w:tcW w:w="4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</w:p>
        </w:tc>
        <w:tc>
          <w:tcPr>
            <w:tcW w:w="3182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Airbag Боковая/шторка</w:t>
            </w:r>
          </w:p>
        </w:tc>
        <w:tc>
          <w:tcPr>
            <w:tcW w:w="50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</w:p>
        </w:tc>
        <w:tc>
          <w:tcPr>
            <w:tcW w:w="30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Газовое оборудование</w:t>
            </w:r>
          </w:p>
        </w:tc>
        <w:tc>
          <w:tcPr>
            <w:tcW w:w="47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</w:p>
        </w:tc>
        <w:tc>
          <w:tcPr>
            <w:tcW w:w="28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Обогрев переднего стекла</w:t>
            </w:r>
          </w:p>
        </w:tc>
      </w:tr>
      <w:tr>
        <w:trPr>
          <w:trHeight w:val="240" w:hRule="atLeast"/>
        </w:trPr>
        <w:tc>
          <w:tcPr>
            <w:tcW w:w="4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</w:p>
        </w:tc>
        <w:tc>
          <w:tcPr>
            <w:tcW w:w="3182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Люк крыши  </w:t>
            </w:r>
          </w:p>
        </w:tc>
        <w:tc>
          <w:tcPr>
            <w:tcW w:w="50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color w:val="FF0000"/>
                <w:sz w:val="16"/>
                <w:szCs w:val="16"/>
              </w:rPr>
            </w:pPr>
            <w:r>
              <w:rPr>
                <w:b/>
                <w:color w:val="FF0000"/>
                <w:sz w:val="16"/>
                <w:szCs w:val="16"/>
              </w:rPr>
            </w:r>
          </w:p>
        </w:tc>
        <w:tc>
          <w:tcPr>
            <w:tcW w:w="30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Спойлер задний </w:t>
            </w:r>
          </w:p>
        </w:tc>
        <w:tc>
          <w:tcPr>
            <w:tcW w:w="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color w:val="FF0000"/>
                <w:sz w:val="16"/>
                <w:szCs w:val="16"/>
              </w:rPr>
            </w:pPr>
            <w:r>
              <w:rPr>
                <w:b/>
                <w:color w:val="FF0000"/>
                <w:sz w:val="16"/>
                <w:szCs w:val="16"/>
              </w:rPr>
            </w:r>
          </w:p>
        </w:tc>
        <w:tc>
          <w:tcPr>
            <w:tcW w:w="28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Стеклоочиститель задний </w:t>
            </w:r>
          </w:p>
        </w:tc>
      </w:tr>
    </w:tbl>
    <w:p>
      <w:pPr>
        <w:pStyle w:val="Normal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jc w:val="center"/>
        <w:rPr>
          <w:b/>
          <w:b/>
          <w:sz w:val="20"/>
          <w:szCs w:val="20"/>
        </w:rPr>
      </w:pPr>
      <w:r>
        <w:rPr>
          <w:b/>
          <w:sz w:val="20"/>
          <w:szCs w:val="20"/>
        </w:rPr>
        <w:t>ОСМОТРОМ УСТАНОВЛЕНО:</w:t>
      </w:r>
    </w:p>
    <w:p>
      <w:pPr>
        <w:pStyle w:val="Normal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Марка, модель, модификация объекта осмотра, основные конструктивные и функциональные параметры ТС и его агрегатов, узлов и механизмов, соответствуют записям в регистрационных документах. </w:t>
      </w:r>
    </w:p>
    <w:p>
      <w:pPr>
        <w:pStyle w:val="Normal"/>
        <w:jc w:val="both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10608" w:type="dxa"/>
        <w:jc w:val="left"/>
        <w:tblInd w:w="-142" w:type="dxa"/>
        <w:tblBorders/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124"/>
        <w:gridCol w:w="522"/>
        <w:gridCol w:w="6033"/>
        <w:gridCol w:w="960"/>
        <w:gridCol w:w="960"/>
        <w:gridCol w:w="313"/>
        <w:gridCol w:w="443"/>
        <w:gridCol w:w="191"/>
        <w:gridCol w:w="1"/>
        <w:gridCol w:w="489"/>
        <w:gridCol w:w="1"/>
        <w:gridCol w:w="475"/>
        <w:gridCol w:w="95"/>
      </w:tblGrid>
      <w:tr>
        <w:trPr>
          <w:trHeight w:val="255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0483" w:type="dxa"/>
            <w:gridSpan w:val="12"/>
            <w:tcBorders/>
            <w:shd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Повреждения, относящиеся к рассматриваемому событию:</w:t>
            </w:r>
          </w:p>
        </w:tc>
      </w:tr>
      <w:tr>
        <w:trPr>
          <w:trHeight w:val="435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№</w:t>
            </w:r>
          </w:p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п/п</w:t>
            </w:r>
          </w:p>
        </w:tc>
        <w:tc>
          <w:tcPr>
            <w:tcW w:w="8266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Деталь, характер, вид и объем ее повреждения.</w:t>
            </w:r>
          </w:p>
        </w:tc>
        <w:tc>
          <w:tcPr>
            <w:tcW w:w="635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Рем</w:t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Зам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Окр</w:t>
            </w:r>
          </w:p>
        </w:tc>
      </w:tr>
      <w:tr>
        <w:trPr>
          <w:trHeight w:val="255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266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Бампер задний - РМ</w:t>
            </w:r>
          </w:p>
        </w:tc>
        <w:tc>
          <w:tcPr>
            <w:tcW w:w="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</w:tr>
      <w:tr>
        <w:trPr>
          <w:trHeight w:val="255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266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Спойлер заднего бампера - РМ</w:t>
            </w:r>
          </w:p>
        </w:tc>
        <w:tc>
          <w:tcPr>
            <w:tcW w:w="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266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Крышка багажника - ИК</w:t>
            </w:r>
          </w:p>
        </w:tc>
        <w:tc>
          <w:tcPr>
            <w:tcW w:w="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</w:tr>
      <w:tr>
        <w:trPr>
          <w:trHeight w:val="255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266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Фонарь центральный крышки багажника - РМ</w:t>
            </w:r>
          </w:p>
        </w:tc>
        <w:tc>
          <w:tcPr>
            <w:tcW w:w="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266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Фонарь внутренний задний правый царапан</w:t>
            </w:r>
          </w:p>
        </w:tc>
        <w:tc>
          <w:tcPr>
            <w:tcW w:w="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266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Фонарь внутренний задний левый - царапан</w:t>
            </w:r>
          </w:p>
        </w:tc>
        <w:tc>
          <w:tcPr>
            <w:tcW w:w="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8266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Фонарь задний, левый - РМ</w:t>
            </w:r>
          </w:p>
        </w:tc>
        <w:tc>
          <w:tcPr>
            <w:tcW w:w="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8266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Фонарь задний, правый - РМ</w:t>
            </w:r>
          </w:p>
        </w:tc>
        <w:tc>
          <w:tcPr>
            <w:tcW w:w="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8266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Указатель поворота задний, правый - РМ</w:t>
            </w:r>
          </w:p>
        </w:tc>
        <w:tc>
          <w:tcPr>
            <w:tcW w:w="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266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Петли крышки багажника (2шт) левая и правая - деформированы</w:t>
            </w:r>
          </w:p>
        </w:tc>
        <w:tc>
          <w:tcPr>
            <w:tcW w:w="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</w:tr>
      <w:tr>
        <w:trPr>
          <w:trHeight w:val="70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8266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Накладка заднего левого фонаря - РМ</w:t>
            </w:r>
          </w:p>
        </w:tc>
        <w:tc>
          <w:tcPr>
            <w:tcW w:w="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70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266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Крыло заднее левое – НЛКП от смещения крышки багажника  с ВМ </w:t>
            </w:r>
            <w:r>
              <w:rPr>
                <w:sz w:val="20"/>
                <w:szCs w:val="20"/>
                <w:lang w:val="en-US"/>
              </w:rPr>
              <w:t>S</w:t>
            </w:r>
            <w:r>
              <w:rPr>
                <w:sz w:val="20"/>
                <w:szCs w:val="20"/>
              </w:rPr>
              <w:t>1-3%, деформация с ВМ, ОС, ИРЖ 10-15% в области панели клапана вентиляции</w:t>
            </w:r>
          </w:p>
        </w:tc>
        <w:tc>
          <w:tcPr>
            <w:tcW w:w="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</w:tr>
      <w:tr>
        <w:trPr>
          <w:trHeight w:val="255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8266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Панель пола багажника – ГВМ </w:t>
            </w:r>
            <w:r>
              <w:rPr>
                <w:sz w:val="20"/>
                <w:szCs w:val="20"/>
                <w:lang w:val="en-US"/>
              </w:rPr>
              <w:t>S</w:t>
            </w:r>
            <w:r>
              <w:rPr>
                <w:sz w:val="20"/>
                <w:szCs w:val="20"/>
              </w:rPr>
              <w:t xml:space="preserve">10-15% </w:t>
            </w:r>
            <w:r>
              <w:rPr>
                <w:sz w:val="20"/>
                <w:szCs w:val="20"/>
                <w:lang w:val="en-US"/>
              </w:rPr>
              <w:t>c</w:t>
            </w:r>
            <w:r>
              <w:rPr>
                <w:sz w:val="20"/>
                <w:szCs w:val="20"/>
              </w:rPr>
              <w:t xml:space="preserve"> ООС</w:t>
            </w:r>
          </w:p>
        </w:tc>
        <w:tc>
          <w:tcPr>
            <w:tcW w:w="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</w:tr>
      <w:tr>
        <w:trPr>
          <w:trHeight w:val="255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8266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Панель задняя – ГВМ </w:t>
            </w:r>
            <w:r>
              <w:rPr>
                <w:sz w:val="20"/>
                <w:szCs w:val="20"/>
                <w:lang w:val="en-US"/>
              </w:rPr>
              <w:t>S</w:t>
            </w:r>
            <w:r>
              <w:rPr>
                <w:sz w:val="20"/>
                <w:szCs w:val="20"/>
              </w:rPr>
              <w:t xml:space="preserve"> &gt;50 5 </w:t>
            </w:r>
            <w:r>
              <w:rPr>
                <w:sz w:val="20"/>
                <w:szCs w:val="20"/>
                <w:lang w:val="en-US"/>
              </w:rPr>
              <w:t>c</w:t>
            </w:r>
            <w:r>
              <w:rPr>
                <w:sz w:val="20"/>
                <w:szCs w:val="20"/>
              </w:rPr>
              <w:t xml:space="preserve"> ООС</w:t>
            </w:r>
          </w:p>
        </w:tc>
        <w:tc>
          <w:tcPr>
            <w:tcW w:w="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</w:tr>
      <w:tr>
        <w:trPr>
          <w:trHeight w:val="255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8266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Панель задняя, внутренняя – ГВМ S &gt;50 5 c ООС</w:t>
            </w:r>
          </w:p>
        </w:tc>
        <w:tc>
          <w:tcPr>
            <w:tcW w:w="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</w:tr>
      <w:tr>
        <w:trPr>
          <w:trHeight w:val="255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8266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Кронштейн запасного колеса в багажнике – деформация с РМ</w:t>
            </w:r>
          </w:p>
        </w:tc>
        <w:tc>
          <w:tcPr>
            <w:tcW w:w="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82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Усилитель заднего бампера - РМ</w:t>
            </w:r>
          </w:p>
        </w:tc>
        <w:tc>
          <w:tcPr>
            <w:tcW w:w="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8266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Кронштейн заднего бампера нижний, правый - РМ</w:t>
            </w:r>
          </w:p>
        </w:tc>
        <w:tc>
          <w:tcPr>
            <w:tcW w:w="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82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Кронштейн заднего бампера, правый - РМ</w:t>
            </w:r>
          </w:p>
        </w:tc>
        <w:tc>
          <w:tcPr>
            <w:tcW w:w="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266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Пыльник пола багажника, левый РМ</w:t>
            </w:r>
          </w:p>
        </w:tc>
        <w:tc>
          <w:tcPr>
            <w:tcW w:w="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8266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Суппорт заднего правого фонаря – ВМ </w:t>
            </w:r>
            <w:r>
              <w:rPr>
                <w:sz w:val="20"/>
                <w:szCs w:val="20"/>
                <w:lang w:val="en-US"/>
              </w:rPr>
              <w:t>S</w:t>
            </w:r>
            <w:r>
              <w:rPr>
                <w:sz w:val="20"/>
                <w:szCs w:val="20"/>
              </w:rPr>
              <w:t xml:space="preserve"> 10-15% </w:t>
            </w:r>
            <w:r>
              <w:rPr>
                <w:sz w:val="20"/>
                <w:szCs w:val="20"/>
                <w:lang w:val="en-US"/>
              </w:rPr>
              <w:t>c</w:t>
            </w:r>
            <w:r>
              <w:rPr>
                <w:sz w:val="20"/>
                <w:szCs w:val="20"/>
              </w:rPr>
              <w:t xml:space="preserve">  ИРЖ</w:t>
            </w:r>
          </w:p>
        </w:tc>
        <w:tc>
          <w:tcPr>
            <w:tcW w:w="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</w:tr>
      <w:tr>
        <w:trPr>
          <w:trHeight w:val="255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8266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Суппорт заднего левого фонаря – ВМ S 5-10% c  ИРЖ</w:t>
            </w:r>
          </w:p>
        </w:tc>
        <w:tc>
          <w:tcPr>
            <w:tcW w:w="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</w:tr>
      <w:tr>
        <w:trPr>
          <w:trHeight w:val="255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8266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Крыло заднее правое – деформация с ОС, ГВМ 3-5% в нижней части в области панели клапана вентиляции</w:t>
            </w:r>
          </w:p>
        </w:tc>
        <w:tc>
          <w:tcPr>
            <w:tcW w:w="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</w:tr>
      <w:tr>
        <w:trPr>
          <w:trHeight w:val="255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8266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Облицовка указателя поворота заднего правого - РМ </w:t>
            </w:r>
          </w:p>
        </w:tc>
        <w:tc>
          <w:tcPr>
            <w:tcW w:w="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8266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Усилитель пола багажника центральный (под буксировочную петлю) – деформация с ОС</w:t>
            </w:r>
          </w:p>
        </w:tc>
        <w:tc>
          <w:tcPr>
            <w:tcW w:w="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</w:tr>
      <w:tr>
        <w:trPr>
          <w:trHeight w:val="255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8266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Фишка жгута проводки заднего правого указателя поворота - РМ</w:t>
            </w:r>
          </w:p>
        </w:tc>
        <w:tc>
          <w:tcPr>
            <w:tcW w:w="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8266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Усилитель пола багажника – ГВМ с ООС</w:t>
            </w:r>
          </w:p>
        </w:tc>
        <w:tc>
          <w:tcPr>
            <w:tcW w:w="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</w:tr>
      <w:tr>
        <w:trPr>
          <w:trHeight w:val="255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8266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Панель пола багажника, левая – ВМ </w:t>
            </w:r>
            <w:r>
              <w:rPr>
                <w:sz w:val="20"/>
                <w:szCs w:val="20"/>
                <w:lang w:val="en-US"/>
              </w:rPr>
              <w:t>S</w:t>
            </w:r>
            <w:r>
              <w:rPr>
                <w:sz w:val="20"/>
                <w:szCs w:val="20"/>
              </w:rPr>
              <w:t>&gt;50% с ИРЖ</w:t>
            </w:r>
          </w:p>
        </w:tc>
        <w:tc>
          <w:tcPr>
            <w:tcW w:w="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</w:tr>
      <w:tr>
        <w:trPr>
          <w:trHeight w:val="255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8266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Облицовка указателя поворота заднего правого - РМ </w:t>
            </w:r>
          </w:p>
        </w:tc>
        <w:tc>
          <w:tcPr>
            <w:tcW w:w="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266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Устранение перекоса проема крышки багажника</w:t>
            </w:r>
          </w:p>
        </w:tc>
        <w:tc>
          <w:tcPr>
            <w:tcW w:w="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</w:t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8266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Стапель - установка</w:t>
            </w:r>
          </w:p>
        </w:tc>
        <w:tc>
          <w:tcPr>
            <w:tcW w:w="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82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82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82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82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0483" w:type="dxa"/>
            <w:gridSpan w:val="1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Принятые сокращения: ДРЖ - с деформацией ребер жесткости; ОС - острые складки; СМ - с образованием складок материала; РМ - с образованием разрыва материала; ТДМ - в труднодоступном месте; РЕМ - ремонт; ЗАМ - замена; ЗАМ Ч - частичная замена; УП - устранение перекоса; ОКР - окраска; ДИАГН - диагностика; ЛЕВ - левая; ПР - правая; ЗАД - задняя; ПЕР - передняя; ТС - транспортное средство. </w:t>
            </w:r>
          </w:p>
        </w:tc>
      </w:tr>
      <w:tr>
        <w:trPr>
          <w:trHeight w:val="348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0483" w:type="dxa"/>
            <w:gridSpan w:val="1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</w:tr>
      <w:tr>
        <w:trPr>
          <w:trHeight w:val="348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048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color w:val="000000"/>
                <w:sz w:val="20"/>
                <w:szCs w:val="20"/>
              </w:rPr>
            </w:pPr>
            <w:r>
              <w:rPr>
                <w:b/>
                <w:i/>
                <w:color w:val="000000"/>
                <w:sz w:val="18"/>
                <w:szCs w:val="18"/>
                <w:u w:val="single"/>
              </w:rPr>
              <w:t>Дефекты эксплуатации:</w:t>
            </w:r>
          </w:p>
        </w:tc>
      </w:tr>
      <w:tr>
        <w:trPr>
          <w:trHeight w:val="348" w:hRule="atLeast"/>
        </w:trPr>
        <w:tc>
          <w:tcPr>
            <w:tcW w:w="12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048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6679" w:type="dxa"/>
            <w:gridSpan w:val="3"/>
            <w:tcBorders/>
            <w:shd w:fill="auto" w:val="clear"/>
            <w:vAlign w:val="bottom"/>
          </w:tcPr>
          <w:p>
            <w:pPr>
              <w:pStyle w:val="Normal"/>
              <w:spacing w:before="0" w:after="4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Возможны  скрытые повреждения в зоне аварийных повреждений: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before="0" w:after="4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/>
            <w:shd w:fill="auto" w:val="clear"/>
            <w:vAlign w:val="bottom"/>
          </w:tcPr>
          <w:p>
            <w:pPr>
              <w:pStyle w:val="Normal"/>
              <w:spacing w:before="0" w:after="4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before="0" w:after="4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157" w:type="dxa"/>
            <w:gridSpan w:val="5"/>
            <w:tcBorders/>
            <w:shd w:fill="auto" w:val="clear"/>
            <w:vAlign w:val="bottom"/>
          </w:tcPr>
          <w:p>
            <w:pPr>
              <w:pStyle w:val="Normal"/>
              <w:spacing w:before="0" w:after="4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95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660" w:hRule="atLeast"/>
        </w:trPr>
        <w:tc>
          <w:tcPr>
            <w:tcW w:w="10512" w:type="dxa"/>
            <w:gridSpan w:val="12"/>
            <w:tcBorders/>
            <w:shd w:fill="auto" w:val="clear"/>
            <w:vAlign w:val="bottom"/>
          </w:tcPr>
          <w:p>
            <w:pPr>
              <w:pStyle w:val="Normal"/>
              <w:spacing w:before="0" w:after="4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 учетом выявленных повреждений ТС, обстоятельств ДТП, исследовав характер и механизм образования повреждений, их расположение, предварительно, можно предположить, что:</w:t>
            </w:r>
          </w:p>
        </w:tc>
        <w:tc>
          <w:tcPr>
            <w:tcW w:w="95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7639" w:type="dxa"/>
            <w:gridSpan w:val="4"/>
            <w:tcBorders/>
            <w:shd w:fill="auto" w:val="clear"/>
            <w:vAlign w:val="bottom"/>
          </w:tcPr>
          <w:p>
            <w:pPr>
              <w:pStyle w:val="Normal"/>
              <w:spacing w:before="0" w:after="4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Вышеуказанные повреждения могут являться следствием данного ДТП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before="0" w:after="4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756" w:type="dxa"/>
            <w:gridSpan w:val="2"/>
            <w:tcBorders/>
            <w:shd w:fill="auto" w:val="clear"/>
            <w:vAlign w:val="bottom"/>
          </w:tcPr>
          <w:p>
            <w:pPr>
              <w:pStyle w:val="Normal"/>
              <w:spacing w:before="0" w:after="4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91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90" w:type="dxa"/>
            <w:gridSpan w:val="2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76" w:type="dxa"/>
            <w:gridSpan w:val="2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95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7639" w:type="dxa"/>
            <w:gridSpan w:val="4"/>
            <w:tcBorders/>
            <w:shd w:fill="auto" w:val="clear"/>
            <w:vAlign w:val="bottom"/>
          </w:tcPr>
          <w:p>
            <w:pPr>
              <w:pStyle w:val="Normal"/>
              <w:spacing w:before="0" w:after="4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Вышеуказанные повреждения не могут являться следствием данного ДТП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before="0" w:after="4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dxa"/>
            <w:gridSpan w:val="2"/>
            <w:tcBorders/>
            <w:shd w:fill="auto" w:val="clear"/>
            <w:vAlign w:val="bottom"/>
          </w:tcPr>
          <w:p>
            <w:pPr>
              <w:pStyle w:val="Normal"/>
              <w:spacing w:before="0" w:after="4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91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90" w:type="dxa"/>
            <w:gridSpan w:val="2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76" w:type="dxa"/>
            <w:gridSpan w:val="2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95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</w:tbl>
    <w:p>
      <w:pPr>
        <w:pStyle w:val="Normal"/>
        <w:ind w:right="-360" w:hanging="0"/>
        <w:jc w:val="center"/>
        <w:rPr>
          <w:b/>
          <w:b/>
          <w:sz w:val="20"/>
          <w:szCs w:val="20"/>
        </w:rPr>
      </w:pPr>
      <w:r>
        <w:rPr>
          <w:b/>
          <w:sz w:val="20"/>
          <w:szCs w:val="20"/>
        </w:rPr>
      </w:r>
    </w:p>
    <w:tbl>
      <w:tblPr>
        <w:tblW w:w="10490" w:type="dxa"/>
        <w:jc w:val="left"/>
        <w:tblInd w:w="-3" w:type="dxa"/>
        <w:tblBorders>
          <w:top w:val="single" w:sz="4" w:space="0" w:color="000000"/>
          <w:left w:val="double" w:sz="2" w:space="0" w:color="000000"/>
          <w:right w:val="double" w:sz="2" w:space="0" w:color="000000"/>
          <w:insideV w:val="double" w:sz="2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10490"/>
      </w:tblGrid>
      <w:tr>
        <w:trPr>
          <w:trHeight w:val="336" w:hRule="atLeast"/>
        </w:trPr>
        <w:tc>
          <w:tcPr>
            <w:tcW w:w="10490" w:type="dxa"/>
            <w:tcBorders>
              <w:top w:val="single" w:sz="4" w:space="0" w:color="000000"/>
              <w:left w:val="double" w:sz="2" w:space="0" w:color="000000"/>
              <w:right w:val="double" w:sz="2" w:space="0" w:color="000000"/>
              <w:insideV w:val="double" w:sz="2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i/>
                <w:color w:val="000000"/>
                <w:sz w:val="18"/>
                <w:szCs w:val="18"/>
                <w:u w:val="single"/>
              </w:rPr>
              <w:t>Особое мнение:</w:t>
            </w:r>
          </w:p>
        </w:tc>
      </w:tr>
      <w:tr>
        <w:trPr>
          <w:trHeight w:val="285" w:hRule="atLeast"/>
        </w:trPr>
        <w:tc>
          <w:tcPr>
            <w:tcW w:w="10490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  <w:insideH w:val="single" w:sz="4" w:space="0" w:color="000000"/>
              <w:insideV w:val="double" w:sz="2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</w:tr>
    </w:tbl>
    <w:p>
      <w:pPr>
        <w:pStyle w:val="Normal"/>
        <w:rPr>
          <w:i/>
          <w:i/>
        </w:rPr>
      </w:pPr>
      <w:r>
        <w:rPr>
          <w:i/>
        </w:rPr>
      </w:r>
    </w:p>
    <w:p>
      <w:pPr>
        <w:pStyle w:val="Normal"/>
        <w:rPr>
          <w:b/>
          <w:b/>
          <w:bCs/>
          <w:iCs/>
          <w:sz w:val="20"/>
          <w:szCs w:val="20"/>
        </w:rPr>
      </w:pPr>
      <w:r>
        <w:rPr>
          <w:b/>
          <w:bCs/>
          <w:iCs/>
          <w:sz w:val="20"/>
          <w:szCs w:val="20"/>
        </w:rPr>
        <w:t>Акт составлен по наружному осмотру в нашем присутствии. С перечнем поврежденных деталей, характером, объемами и видами повреждений ТС ознакомлены и согласны.</w:t>
      </w:r>
    </w:p>
    <w:p>
      <w:pPr>
        <w:pStyle w:val="Normal"/>
        <w:rPr>
          <w:b/>
          <w:b/>
          <w:bCs/>
          <w:iCs/>
          <w:sz w:val="20"/>
          <w:szCs w:val="20"/>
        </w:rPr>
      </w:pPr>
      <w:r>
        <w:rPr>
          <w:b/>
          <w:bCs/>
          <w:iCs/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>При осмотре присутствовали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>Эксперт-техник ___________________________/Григорьев М.А./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>Заказчик    ____________________________________________________________________/</w:t>
      </w:r>
      <w:r>
        <w:rPr>
          <w:color w:val="000000"/>
          <w:sz w:val="20"/>
          <w:szCs w:val="20"/>
        </w:rPr>
        <w:t xml:space="preserve"> __________________/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>Владелец автомобиля (доверенное лицо) ___________________________________________/</w:t>
      </w:r>
      <w:r>
        <w:rPr>
          <w:color w:val="000000"/>
          <w:sz w:val="20"/>
          <w:szCs w:val="20"/>
        </w:rPr>
        <w:t xml:space="preserve"> __________________/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>Другие заинтересованные лица ______________________________________________/__________________/</w:t>
      </w:r>
    </w:p>
    <w:tbl>
      <w:tblPr>
        <w:tblW w:w="993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9930"/>
      </w:tblGrid>
      <w:tr>
        <w:trPr>
          <w:trHeight w:val="13395" w:hRule="atLeast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  <w:t>ПРИЛОЖЕНИЕ №2</w:t>
            </w:r>
          </w:p>
          <w:p>
            <w:pPr>
              <w:pStyle w:val="Normal"/>
              <w:spacing w:lineRule="auto" w:line="360"/>
              <w:jc w:val="center"/>
              <w:rPr/>
            </w:pPr>
            <w:r>
              <w:rPr/>
              <mc:AlternateContent>
                <mc:Choice Requires="wps">
                  <w:drawing>
                    <wp:inline distT="0" distB="0" distL="0" distR="0">
                      <wp:extent cx="5968365" cy="2887980"/>
                      <wp:effectExtent l="0" t="0" r="0" b="0"/>
                      <wp:docPr id="8" name="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 descr=""/>
                              <pic:cNvPicPr/>
                            </pic:nvPicPr>
                            <pic:blipFill>
                              <a:blip r:embed="rId10"/>
                              <a:stretch/>
                            </pic:blipFill>
                            <pic:spPr>
                              <a:xfrm>
                                <a:off x="0" y="0"/>
                                <a:ext cx="5967720" cy="28872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shapetype_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_0" stroked="f" style="position:absolute;margin-left:0pt;margin-top:-227.4pt;width:469.85pt;height:227.3pt;mso-position-vertical:top" type="shapetype_75">
                      <v:imagedata r:id="rId10" o:detectmouseclick="t"/>
                      <w10:wrap type="none"/>
                      <v:stroke color="#3465a4" joinstyle="round" endcap="flat"/>
                    </v:shape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inline distT="0" distB="0" distL="0" distR="0">
                      <wp:extent cx="5968365" cy="2887980"/>
                      <wp:effectExtent l="0" t="0" r="0" b="0"/>
                      <wp:docPr id="9" name="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 descr=""/>
                              <pic:cNvPicPr/>
                            </pic:nvPicPr>
                            <pic:blipFill>
                              <a:blip r:embed="rId11"/>
                              <a:stretch/>
                            </pic:blipFill>
                            <pic:spPr>
                              <a:xfrm>
                                <a:off x="0" y="0"/>
                                <a:ext cx="5967720" cy="28872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 id="shape_0" stroked="f" style="position:absolute;margin-left:0pt;margin-top:-227.4pt;width:469.85pt;height:227.3pt;mso-position-vertical:top" type="shapetype_75">
                      <v:imagedata r:id="rId11" o:detectmouseclick="t"/>
                      <w10:wrap type="none"/>
                      <v:stroke color="#3465a4" joinstyle="round" endcap="flat"/>
                    </v:shape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inline distT="0" distB="0" distL="0" distR="0">
                      <wp:extent cx="5968365" cy="2887980"/>
                      <wp:effectExtent l="0" t="0" r="0" b="0"/>
                      <wp:docPr id="10" name="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" descr=""/>
                              <pic:cNvPicPr/>
                            </pic:nvPicPr>
                            <pic:blipFill>
                              <a:blip r:embed="rId12"/>
                              <a:stretch/>
                            </pic:blipFill>
                            <pic:spPr>
                              <a:xfrm>
                                <a:off x="0" y="0"/>
                                <a:ext cx="5967720" cy="28872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 id="shape_0" stroked="f" style="position:absolute;margin-left:0pt;margin-top:-227.4pt;width:469.85pt;height:227.3pt;mso-position-vertical:top" type="shapetype_75">
                      <v:imagedata r:id="rId12" o:detectmouseclick="t"/>
                      <w10:wrap type="none"/>
                      <v:stroke color="#3465a4" joinstyle="round" endcap="flat"/>
                    </v:shape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inline distT="0" distB="0" distL="0" distR="0">
                      <wp:extent cx="5968365" cy="2887980"/>
                      <wp:effectExtent l="0" t="0" r="0" b="0"/>
                      <wp:docPr id="11" name="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" descr=""/>
                              <pic:cNvPicPr/>
                            </pic:nvPicPr>
                            <pic:blipFill>
                              <a:blip r:embed="rId13"/>
                              <a:stretch/>
                            </pic:blipFill>
                            <pic:spPr>
                              <a:xfrm>
                                <a:off x="0" y="0"/>
                                <a:ext cx="5967720" cy="28872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 id="shape_0" stroked="f" style="position:absolute;margin-left:0pt;margin-top:-227.4pt;width:469.85pt;height:227.3pt;mso-position-vertical:top" type="shapetype_75">
                      <v:imagedata r:id="rId13" o:detectmouseclick="t"/>
                      <w10:wrap type="none"/>
                      <v:stroke color="#3465a4" joinstyle="round" endcap="flat"/>
                    </v:shape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inline distT="0" distB="0" distL="0" distR="0">
                      <wp:extent cx="5968365" cy="2887980"/>
                      <wp:effectExtent l="0" t="0" r="0" b="0"/>
                      <wp:docPr id="12" name="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" descr=""/>
                              <pic:cNvPicPr/>
                            </pic:nvPicPr>
                            <pic:blipFill>
                              <a:blip r:embed="rId14"/>
                              <a:stretch/>
                            </pic:blipFill>
                            <pic:spPr>
                              <a:xfrm>
                                <a:off x="0" y="0"/>
                                <a:ext cx="5967720" cy="28872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 id="shape_0" stroked="f" style="position:absolute;margin-left:0pt;margin-top:-227.4pt;width:469.85pt;height:227.3pt;mso-position-vertical:top" type="shapetype_75">
                      <v:imagedata r:id="rId14" o:detectmouseclick="t"/>
                      <w10:wrap type="none"/>
                      <v:stroke color="#3465a4" joinstyle="round" endcap="flat"/>
                    </v:shape>
                  </w:pict>
                </mc:Fallback>
              </mc:AlternateContent>
            </w:r>
          </w:p>
        </w:tc>
      </w:tr>
    </w:tbl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bookmarkStart w:id="19" w:name="_GoBack"/>
      <w:bookmarkEnd w:id="19"/>
      <w:r>
        <w:rPr>
          <w:b/>
        </w:rPr>
        <w:t>ПРИЛОЖЕНИЕ №3</w:t>
      </w:r>
    </w:p>
    <w:tbl>
      <w:tblPr>
        <w:tblStyle w:val="ab"/>
        <w:tblW w:w="10080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4698"/>
        <w:gridCol w:w="5381"/>
      </w:tblGrid>
      <w:tr>
        <w:trPr/>
        <w:tc>
          <w:tcPr>
            <w:tcW w:w="4698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/>
              <mc:AlternateContent>
                <mc:Choice Requires="wps">
                  <w:drawing>
                    <wp:inline distT="0" distB="0" distL="0" distR="0">
                      <wp:extent cx="2936240" cy="4091305"/>
                      <wp:effectExtent l="0" t="0" r="0" b="0"/>
                      <wp:docPr id="13" name="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" descr=""/>
                              <pic:cNvPicPr/>
                            </pic:nvPicPr>
                            <pic:blipFill>
                              <a:blip r:embed="rId15"/>
                              <a:stretch/>
                            </pic:blipFill>
                            <pic:spPr>
                              <a:xfrm>
                                <a:off x="0" y="0"/>
                                <a:ext cx="2935440" cy="409068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 id="shape_0" stroked="f" style="position:absolute;margin-left:0pt;margin-top:-322.15pt;width:231.1pt;height:322.05pt;mso-position-vertical:top" type="shapetype_75">
                      <v:imagedata r:id="rId15" o:detectmouseclick="t"/>
                      <w10:wrap type="none"/>
                      <v:stroke color="#3465a4" joinstyle="round" endcap="flat"/>
                    </v:shape>
                  </w:pict>
                </mc:Fallback>
              </mc:AlternateContent>
            </w:r>
          </w:p>
        </w:tc>
        <w:tc>
          <w:tcPr>
            <w:tcW w:w="5381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/>
              <w:drawing>
                <wp:inline distT="0" distB="0" distL="0" distR="0">
                  <wp:extent cx="3110865" cy="4139565"/>
                  <wp:effectExtent l="0" t="0" r="0" b="0"/>
                  <wp:docPr id="14" name="Изображение1" descr="C:\Users\Trololo\Desktop\Вика\документы наши\документы оценщики и эксперты\Макс Григорьев\выписка минЮ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Изображение1" descr="C:\Users\Trololo\Desktop\Вика\документы наши\документы оценщики и эксперты\Макс Григорьев\выписка минЮс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865" cy="4139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698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/>
              <w:drawing>
                <wp:inline distT="0" distB="0" distL="0" distR="0">
                  <wp:extent cx="2941320" cy="4537710"/>
                  <wp:effectExtent l="0" t="0" r="0" b="0"/>
                  <wp:docPr id="15" name="Изображение2" descr="C:\Users\Trololo\Desktop\Вика\документы наши\документы оценщики и эксперты\Макс Григорьев\диплом независ. экс григорь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Изображение2" descr="C:\Users\Trololo\Desktop\Вика\документы наши\документы оценщики и эксперты\Макс Григорьев\диплом независ. экс григорь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320" cy="453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/>
              <mc:AlternateContent>
                <mc:Choice Requires="wps">
                  <w:drawing>
                    <wp:inline distT="0" distB="0" distL="0" distR="0" wp14:anchorId="1449E442">
                      <wp:extent cx="4538345" cy="3376930"/>
                      <wp:effectExtent l="9208" t="0" r="6032" b="6033"/>
                      <wp:docPr id="16" name="Рисунок 6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Рисунок 6" descr=""/>
                              <pic:cNvPicPr/>
                            </pic:nvPicPr>
                            <pic:blipFill>
                              <a:blip r:embed="rId18"/>
                              <a:stretch/>
                            </pic:blipFill>
                            <pic:spPr>
                              <a:xfrm rot="16200000">
                                <a:off x="0" y="0"/>
                                <a:ext cx="4537800" cy="337644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 id="shape_0" ID="Рисунок 6" stroked="f" style="position:absolute;margin-left:-45.7pt;margin-top:-311.65pt;width:357.25pt;height:265.8pt;rotation:270;mso-position-vertical:top" wp14:anchorId="1449E442" type="shapetype_75">
                      <v:imagedata r:id="rId18" o:detectmouseclick="t"/>
                      <w10:wrap type="none"/>
                      <v:stroke color="#3465a4" joinstyle="round" endcap="flat"/>
                    </v:shape>
                  </w:pict>
                </mc:Fallback>
              </mc:AlternateContent>
            </w:r>
          </w:p>
        </w:tc>
      </w:tr>
    </w:tbl>
    <w:p>
      <w:pPr>
        <w:pStyle w:val="Normal"/>
        <w:tabs>
          <w:tab w:val="clear" w:pos="708"/>
          <w:tab w:val="left" w:pos="3514" w:leader="none"/>
          <w:tab w:val="center" w:pos="5040" w:leader="none"/>
        </w:tabs>
        <w:rPr/>
      </w:pPr>
      <w:r>
        <w:rPr/>
      </w:r>
    </w:p>
    <w:sectPr>
      <w:headerReference w:type="default" r:id="rId19"/>
      <w:footerReference w:type="default" r:id="rId20"/>
      <w:type w:val="nextPage"/>
      <w:pgSz w:w="11906" w:h="16838"/>
      <w:pgMar w:left="1080" w:right="746" w:header="284" w:top="1134" w:footer="708" w:bottom="851" w:gutter="0"/>
      <w:pgNumType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Arial Narrow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Vanta Light">
    <w:charset w:val="01"/>
    <w:family w:val="roman"/>
    <w:pitch w:val="variable"/>
  </w:font>
  <w:font w:name="Myriad Pro Cond">
    <w:charset w:val="01"/>
    <w:family w:val="roman"/>
    <w:pitch w:val="variable"/>
  </w:font>
  <w:font w:name="Courier New">
    <w:charset w:val="01"/>
    <w:family w:val="roman"/>
    <w:pitch w:val="variable"/>
  </w:font>
  <w:font w:name="Arial Unicode MS">
    <w:charset w:val="01"/>
    <w:family w:val="roman"/>
    <w:pitch w:val="variable"/>
  </w:font>
  <w:font w:name="Symbol">
    <w:charset w:val="02"/>
    <w:family w:val="auto"/>
    <w:pitch w:val="default"/>
  </w:font>
  <w:font w:name="Courier New">
    <w:charset w:val="01"/>
    <w:family w:val="auto"/>
    <w:pitch w:val="default"/>
  </w:font>
  <w:font w:name="Wingdings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9"/>
      <w:pBdr>
        <w:top w:val="thinThickSmallGap" w:sz="24" w:space="1" w:color="823B0B"/>
      </w:pBdr>
      <w:tabs>
        <w:tab w:val="clear" w:pos="4677"/>
        <w:tab w:val="clear" w:pos="9355"/>
        <w:tab w:val="right" w:pos="10080" w:leader="none"/>
      </w:tabs>
      <w:rPr/>
    </w:pPr>
    <w:r>
      <w:rPr>
        <w:b/>
      </w:rPr>
      <w:t>ООО «Европейский Центр Оценки»</w:t>
    </w:r>
    <w:r>
      <w:rPr/>
      <w:tab/>
    </w:r>
    <w:r>
      <w:rPr/>
      <w:fldChar w:fldCharType="begin"/>
    </w:r>
    <w:r>
      <w:rPr/>
      <w:instrText> PAGE </w:instrText>
    </w:r>
    <w:r>
      <w:rPr/>
      <w:fldChar w:fldCharType="separate"/>
    </w:r>
    <w:r>
      <w:rPr/>
      <w:t>4</w:t>
    </w:r>
    <w:r>
      <w:rPr/>
      <w:fldChar w:fldCharType="end"/>
    </w:r>
  </w:p>
  <w:p>
    <w:pPr>
      <w:pStyle w:val="Style29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8"/>
      <w:pBdr>
        <w:bottom w:val="thickThinSmallGap" w:sz="24" w:space="1" w:color="823B0B"/>
      </w:pBdr>
      <w:jc w:val="center"/>
      <w:rPr>
        <w:b/>
        <w:b/>
        <w:szCs w:val="32"/>
      </w:rPr>
    </w:pPr>
    <w:r>
      <w:rPr>
        <w:b/>
        <w:szCs w:val="32"/>
      </w:rPr>
      <w:t xml:space="preserve">Заключение </w:t>
    </w:r>
    <w:r>
      <w:rPr>
        <w:b/>
      </w:rPr>
      <w:t>№</w:t>
    </w:r>
    <w:r>
      <w:rPr>
        <w:b/>
        <w:bCs/>
        <w:color w:val="000000" w:themeColor="text1"/>
      </w:rPr>
      <w:t xml:space="preserve">5806-0223-2                                                              </w:t>
    </w:r>
    <w:r>
      <w:rPr>
        <w:b/>
        <w:szCs w:val="32"/>
      </w:rPr>
      <w:t>Европейский Центр Оценки</w:t>
    </w:r>
  </w:p>
  <w:p>
    <w:pPr>
      <w:pStyle w:val="Style28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85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/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semiHidden="1" w:unhideWhenUsed="1"/>
    <w:lsdException w:name="footer" w:uiPriority="99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99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a968b8"/>
    <w:pPr>
      <w:widowControl/>
      <w:bidi w:val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paragraph" w:styleId="1">
    <w:name w:val="Heading 1"/>
    <w:basedOn w:val="Normal"/>
    <w:next w:val="Normal"/>
    <w:autoRedefine/>
    <w:qFormat/>
    <w:rsid w:val="001f67c5"/>
    <w:pPr>
      <w:keepNext w:val="true"/>
      <w:tabs>
        <w:tab w:val="clear" w:pos="708"/>
        <w:tab w:val="left" w:pos="-1260" w:leader="none"/>
        <w:tab w:val="left" w:pos="-900" w:leader="none"/>
        <w:tab w:val="left" w:pos="2160" w:leader="none"/>
      </w:tabs>
      <w:overflowPunct w:val="true"/>
      <w:spacing w:lineRule="auto" w:line="360" w:before="240" w:after="120"/>
      <w:ind w:firstLine="567"/>
      <w:jc w:val="center"/>
      <w:textAlignment w:val="baseline"/>
      <w:outlineLvl w:val="0"/>
    </w:pPr>
    <w:rPr>
      <w:b/>
      <w:kern w:val="2"/>
      <w:sz w:val="32"/>
      <w:szCs w:val="32"/>
    </w:rPr>
  </w:style>
  <w:style w:type="paragraph" w:styleId="2">
    <w:name w:val="Heading 2"/>
    <w:basedOn w:val="Normal"/>
    <w:next w:val="Normal"/>
    <w:autoRedefine/>
    <w:qFormat/>
    <w:rsid w:val="00c907ee"/>
    <w:pPr>
      <w:keepNext w:val="true"/>
      <w:spacing w:before="120" w:after="60"/>
      <w:ind w:right="54" w:hanging="0"/>
      <w:jc w:val="both"/>
      <w:outlineLvl w:val="1"/>
    </w:pPr>
    <w:rPr>
      <w:bCs/>
      <w:iCs/>
      <w:color w:val="000000"/>
    </w:rPr>
  </w:style>
  <w:style w:type="paragraph" w:styleId="3">
    <w:name w:val="Heading 3"/>
    <w:basedOn w:val="Normal"/>
    <w:next w:val="Normal"/>
    <w:qFormat/>
    <w:rsid w:val="00716026"/>
    <w:pPr>
      <w:keepNext w:val="true"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Normal"/>
    <w:next w:val="Normal"/>
    <w:link w:val="40"/>
    <w:semiHidden/>
    <w:unhideWhenUsed/>
    <w:qFormat/>
    <w:rsid w:val="00391129"/>
    <w:pPr>
      <w:keepNext w:val="true"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8">
    <w:name w:val="Heading 8"/>
    <w:basedOn w:val="Normal"/>
    <w:next w:val="Normal"/>
    <w:link w:val="80"/>
    <w:qFormat/>
    <w:rsid w:val="00911ccd"/>
    <w:pPr>
      <w:spacing w:before="240" w:after="60"/>
      <w:outlineLvl w:val="7"/>
    </w:pPr>
    <w:rPr>
      <w:rFonts w:ascii="Calibri" w:hAnsi="Calibri"/>
      <w:i/>
      <w:iCs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81" w:customStyle="1">
    <w:name w:val="Заголовок 8 Знак"/>
    <w:link w:val="8"/>
    <w:semiHidden/>
    <w:qFormat/>
    <w:rsid w:val="00911ccd"/>
    <w:rPr>
      <w:rFonts w:ascii="Calibri" w:hAnsi="Calibri" w:eastAsia="Times New Roman" w:cs="Times New Roman"/>
      <w:i/>
      <w:iCs/>
      <w:sz w:val="24"/>
      <w:szCs w:val="24"/>
    </w:rPr>
  </w:style>
  <w:style w:type="character" w:styleId="Style9" w:customStyle="1">
    <w:name w:val="Нижний колонтитул Знак"/>
    <w:link w:val="a6"/>
    <w:uiPriority w:val="99"/>
    <w:qFormat/>
    <w:rsid w:val="00466d30"/>
    <w:rPr>
      <w:sz w:val="24"/>
      <w:szCs w:val="24"/>
    </w:rPr>
  </w:style>
  <w:style w:type="character" w:styleId="31" w:customStyle="1">
    <w:name w:val="Основной текст с отступом Знак3"/>
    <w:link w:val="aa"/>
    <w:qFormat/>
    <w:rsid w:val="00f4218c"/>
    <w:rPr>
      <w:sz w:val="24"/>
      <w:szCs w:val="24"/>
    </w:rPr>
  </w:style>
  <w:style w:type="character" w:styleId="7" w:customStyle="1">
    <w:name w:val="Основной текст (7)_"/>
    <w:link w:val="71"/>
    <w:qFormat/>
    <w:rsid w:val="0074401f"/>
    <w:rPr>
      <w:b/>
      <w:bCs/>
      <w:smallCaps/>
      <w:sz w:val="26"/>
      <w:szCs w:val="26"/>
      <w:lang w:bidi="ar-SA"/>
    </w:rPr>
  </w:style>
  <w:style w:type="character" w:styleId="74" w:customStyle="1">
    <w:name w:val="Основной текст (7) + Не малые прописные4"/>
    <w:basedOn w:val="7"/>
    <w:qFormat/>
    <w:rsid w:val="0074401f"/>
    <w:rPr>
      <w:b/>
      <w:bCs/>
      <w:smallCaps/>
      <w:sz w:val="26"/>
      <w:szCs w:val="26"/>
      <w:lang w:bidi="ar-SA"/>
    </w:rPr>
  </w:style>
  <w:style w:type="character" w:styleId="78" w:customStyle="1">
    <w:name w:val="Основной текст (7)8"/>
    <w:basedOn w:val="7"/>
    <w:qFormat/>
    <w:rsid w:val="0074401f"/>
    <w:rPr>
      <w:b/>
      <w:bCs/>
      <w:smallCaps/>
      <w:sz w:val="26"/>
      <w:szCs w:val="26"/>
      <w:lang w:bidi="ar-SA"/>
    </w:rPr>
  </w:style>
  <w:style w:type="character" w:styleId="Style10">
    <w:name w:val="Интернет-ссылка"/>
    <w:uiPriority w:val="99"/>
    <w:rsid w:val="00da3d07"/>
    <w:rPr>
      <w:color w:val="0066CC"/>
      <w:u w:val="single"/>
    </w:rPr>
  </w:style>
  <w:style w:type="character" w:styleId="9" w:customStyle="1">
    <w:name w:val="Заголовок №9_"/>
    <w:link w:val="91"/>
    <w:qFormat/>
    <w:rsid w:val="00da3d07"/>
    <w:rPr>
      <w:b/>
      <w:bCs/>
      <w:smallCaps/>
      <w:sz w:val="26"/>
      <w:szCs w:val="26"/>
      <w:lang w:bidi="ar-SA"/>
    </w:rPr>
  </w:style>
  <w:style w:type="character" w:styleId="94" w:customStyle="1">
    <w:name w:val="Заголовок №9 + Не малые прописные4"/>
    <w:basedOn w:val="9"/>
    <w:qFormat/>
    <w:rsid w:val="00da3d07"/>
    <w:rPr>
      <w:b/>
      <w:bCs/>
      <w:smallCaps/>
      <w:sz w:val="26"/>
      <w:szCs w:val="26"/>
      <w:lang w:bidi="ar-SA"/>
    </w:rPr>
  </w:style>
  <w:style w:type="character" w:styleId="96" w:customStyle="1">
    <w:name w:val="Заголовок №96"/>
    <w:basedOn w:val="9"/>
    <w:qFormat/>
    <w:rsid w:val="00da3d07"/>
    <w:rPr>
      <w:b/>
      <w:bCs/>
      <w:smallCaps/>
      <w:sz w:val="26"/>
      <w:szCs w:val="26"/>
      <w:lang w:bidi="ar-SA"/>
    </w:rPr>
  </w:style>
  <w:style w:type="character" w:styleId="73" w:customStyle="1">
    <w:name w:val="Основной текст (7) + Не малые прописные3"/>
    <w:qFormat/>
    <w:rsid w:val="002f2109"/>
    <w:rPr>
      <w:rFonts w:ascii="Times New Roman" w:hAnsi="Times New Roman" w:cs="Times New Roman"/>
      <w:b w:val="false"/>
      <w:bCs w:val="false"/>
      <w:smallCaps/>
      <w:spacing w:val="0"/>
      <w:sz w:val="26"/>
      <w:szCs w:val="26"/>
      <w:lang w:bidi="ar-SA"/>
    </w:rPr>
  </w:style>
  <w:style w:type="character" w:styleId="77" w:customStyle="1">
    <w:name w:val="Основной текст (7)7"/>
    <w:qFormat/>
    <w:rsid w:val="002f2109"/>
    <w:rPr>
      <w:rFonts w:ascii="Times New Roman" w:hAnsi="Times New Roman" w:cs="Times New Roman"/>
      <w:b w:val="false"/>
      <w:bCs w:val="false"/>
      <w:caps w:val="false"/>
      <w:smallCaps w:val="false"/>
      <w:spacing w:val="0"/>
      <w:sz w:val="26"/>
      <w:szCs w:val="26"/>
      <w:lang w:bidi="ar-SA"/>
    </w:rPr>
  </w:style>
  <w:style w:type="character" w:styleId="10" w:customStyle="1">
    <w:name w:val="Заголовок №10_"/>
    <w:link w:val="101"/>
    <w:qFormat/>
    <w:rsid w:val="005640cf"/>
    <w:rPr>
      <w:b/>
      <w:bCs/>
      <w:lang w:bidi="ar-SA"/>
    </w:rPr>
  </w:style>
  <w:style w:type="character" w:styleId="6" w:customStyle="1">
    <w:name w:val="Основной текст (6)_"/>
    <w:link w:val="60"/>
    <w:qFormat/>
    <w:rsid w:val="005640cf"/>
    <w:rPr>
      <w:b/>
      <w:bCs/>
      <w:sz w:val="23"/>
      <w:szCs w:val="23"/>
      <w:lang w:bidi="ar-SA"/>
    </w:rPr>
  </w:style>
  <w:style w:type="character" w:styleId="1010" w:customStyle="1">
    <w:name w:val="Заголовок №1010"/>
    <w:basedOn w:val="10"/>
    <w:qFormat/>
    <w:rsid w:val="005640cf"/>
    <w:rPr>
      <w:b/>
      <w:bCs/>
      <w:lang w:bidi="ar-SA"/>
    </w:rPr>
  </w:style>
  <w:style w:type="character" w:styleId="Style11" w:customStyle="1">
    <w:name w:val="Основной текст + Полужирный"/>
    <w:qFormat/>
    <w:rsid w:val="005640cf"/>
    <w:rPr>
      <w:rFonts w:ascii="Times New Roman" w:hAnsi="Times New Roman" w:cs="Times New Roman"/>
      <w:b/>
      <w:bCs/>
      <w:spacing w:val="0"/>
      <w:sz w:val="23"/>
      <w:szCs w:val="23"/>
    </w:rPr>
  </w:style>
  <w:style w:type="character" w:styleId="82" w:customStyle="1">
    <w:name w:val="Основной текст (8)_"/>
    <w:link w:val="810"/>
    <w:qFormat/>
    <w:rsid w:val="005640cf"/>
    <w:rPr>
      <w:i/>
      <w:iCs/>
      <w:lang w:bidi="ar-SA"/>
    </w:rPr>
  </w:style>
  <w:style w:type="character" w:styleId="83" w:customStyle="1">
    <w:name w:val="Основной текст (8) + Полужирный"/>
    <w:qFormat/>
    <w:rsid w:val="005640cf"/>
    <w:rPr>
      <w:b/>
      <w:bCs/>
      <w:i/>
      <w:iCs/>
      <w:lang w:bidi="ar-SA"/>
    </w:rPr>
  </w:style>
  <w:style w:type="character" w:styleId="63" w:customStyle="1">
    <w:name w:val="Основной текст (6) + Не полужирный3"/>
    <w:basedOn w:val="6"/>
    <w:qFormat/>
    <w:rsid w:val="005640cf"/>
    <w:rPr>
      <w:b/>
      <w:bCs/>
      <w:sz w:val="23"/>
      <w:szCs w:val="23"/>
      <w:lang w:bidi="ar-SA"/>
    </w:rPr>
  </w:style>
  <w:style w:type="character" w:styleId="92" w:customStyle="1">
    <w:name w:val="Заголовок №9 (2)_"/>
    <w:link w:val="921"/>
    <w:qFormat/>
    <w:rsid w:val="00d25ff1"/>
    <w:rPr>
      <w:b/>
      <w:bCs/>
      <w:sz w:val="26"/>
      <w:szCs w:val="26"/>
      <w:lang w:bidi="ar-SA"/>
    </w:rPr>
  </w:style>
  <w:style w:type="character" w:styleId="Style12" w:customStyle="1">
    <w:name w:val="Подпись к таблице_"/>
    <w:link w:val="11"/>
    <w:qFormat/>
    <w:rsid w:val="00d25ff1"/>
    <w:rPr>
      <w:i/>
      <w:iCs/>
      <w:lang w:bidi="ar-SA"/>
    </w:rPr>
  </w:style>
  <w:style w:type="character" w:styleId="101" w:customStyle="1">
    <w:name w:val="Основной текст (10)_"/>
    <w:link w:val="1011"/>
    <w:qFormat/>
    <w:rsid w:val="00d25ff1"/>
    <w:rPr>
      <w:b/>
      <w:bCs/>
      <w:sz w:val="19"/>
      <w:szCs w:val="19"/>
      <w:lang w:bidi="ar-SA"/>
    </w:rPr>
  </w:style>
  <w:style w:type="character" w:styleId="91" w:customStyle="1">
    <w:name w:val="Основной текст (9)_"/>
    <w:link w:val="910"/>
    <w:qFormat/>
    <w:rsid w:val="00d25ff1"/>
    <w:rPr>
      <w:sz w:val="19"/>
      <w:szCs w:val="19"/>
      <w:lang w:bidi="ar-SA"/>
    </w:rPr>
  </w:style>
  <w:style w:type="character" w:styleId="925" w:customStyle="1">
    <w:name w:val="Заголовок №9 (2)5"/>
    <w:basedOn w:val="92"/>
    <w:qFormat/>
    <w:rsid w:val="00d25ff1"/>
    <w:rPr>
      <w:b/>
      <w:bCs/>
      <w:sz w:val="26"/>
      <w:szCs w:val="26"/>
      <w:lang w:bidi="ar-SA"/>
    </w:rPr>
  </w:style>
  <w:style w:type="character" w:styleId="108" w:customStyle="1">
    <w:name w:val="Заголовок №108"/>
    <w:qFormat/>
    <w:rsid w:val="00d25ff1"/>
    <w:rPr>
      <w:rFonts w:ascii="Times New Roman" w:hAnsi="Times New Roman" w:cs="Times New Roman"/>
      <w:b w:val="false"/>
      <w:bCs w:val="false"/>
      <w:spacing w:val="0"/>
      <w:lang w:bidi="ar-SA"/>
    </w:rPr>
  </w:style>
  <w:style w:type="character" w:styleId="32" w:customStyle="1">
    <w:name w:val="Подпись к таблице + Полужирный3"/>
    <w:qFormat/>
    <w:rsid w:val="00d25ff1"/>
    <w:rPr>
      <w:b/>
      <w:bCs/>
      <w:i/>
      <w:iCs/>
      <w:lang w:bidi="ar-SA"/>
    </w:rPr>
  </w:style>
  <w:style w:type="character" w:styleId="41" w:customStyle="1">
    <w:name w:val="Подпись к таблице4"/>
    <w:basedOn w:val="Style12"/>
    <w:qFormat/>
    <w:rsid w:val="00d25ff1"/>
    <w:rPr>
      <w:i/>
      <w:iCs/>
      <w:lang w:bidi="ar-SA"/>
    </w:rPr>
  </w:style>
  <w:style w:type="character" w:styleId="1012" w:customStyle="1">
    <w:name w:val="Основной текст (10)12"/>
    <w:basedOn w:val="101"/>
    <w:qFormat/>
    <w:rsid w:val="00d25ff1"/>
    <w:rPr>
      <w:b/>
      <w:bCs/>
      <w:sz w:val="19"/>
      <w:szCs w:val="19"/>
      <w:lang w:bidi="ar-SA"/>
    </w:rPr>
  </w:style>
  <w:style w:type="character" w:styleId="21" w:customStyle="1">
    <w:name w:val="Подпись к таблице (2)_"/>
    <w:link w:val="21"/>
    <w:qFormat/>
    <w:rsid w:val="00d25ff1"/>
    <w:rPr>
      <w:i/>
      <w:iCs/>
      <w:sz w:val="19"/>
      <w:szCs w:val="19"/>
      <w:lang w:bidi="ar-SA"/>
    </w:rPr>
  </w:style>
  <w:style w:type="character" w:styleId="210pt" w:customStyle="1">
    <w:name w:val="Подпись к таблице (2) + 10 pt"/>
    <w:qFormat/>
    <w:rsid w:val="00d25ff1"/>
    <w:rPr>
      <w:b/>
      <w:bCs/>
      <w:i/>
      <w:iCs/>
      <w:sz w:val="20"/>
      <w:szCs w:val="20"/>
      <w:lang w:bidi="ar-SA"/>
    </w:rPr>
  </w:style>
  <w:style w:type="character" w:styleId="Pagenumber">
    <w:name w:val="page number"/>
    <w:basedOn w:val="DefaultParagraphFont"/>
    <w:qFormat/>
    <w:rsid w:val="00a10d45"/>
    <w:rPr/>
  </w:style>
  <w:style w:type="character" w:styleId="Strong">
    <w:name w:val="Strong"/>
    <w:uiPriority w:val="22"/>
    <w:qFormat/>
    <w:rsid w:val="002b49a9"/>
    <w:rPr>
      <w:b/>
      <w:bCs/>
    </w:rPr>
  </w:style>
  <w:style w:type="character" w:styleId="Style13">
    <w:name w:val="Выделение"/>
    <w:uiPriority w:val="20"/>
    <w:qFormat/>
    <w:rsid w:val="002b49a9"/>
    <w:rPr>
      <w:i/>
      <w:iCs/>
    </w:rPr>
  </w:style>
  <w:style w:type="character" w:styleId="Appleconvertedspace" w:customStyle="1">
    <w:name w:val="apple-converted-space"/>
    <w:basedOn w:val="DefaultParagraphFont"/>
    <w:qFormat/>
    <w:rsid w:val="002b49a9"/>
    <w:rPr/>
  </w:style>
  <w:style w:type="character" w:styleId="Style14" w:customStyle="1">
    <w:name w:val="Текст выноски Знак"/>
    <w:link w:val="af4"/>
    <w:qFormat/>
    <w:rsid w:val="009832ef"/>
    <w:rPr>
      <w:rFonts w:ascii="Tahoma" w:hAnsi="Tahoma" w:cs="Tahoma"/>
      <w:sz w:val="16"/>
      <w:szCs w:val="16"/>
    </w:rPr>
  </w:style>
  <w:style w:type="character" w:styleId="11" w:customStyle="1">
    <w:name w:val="Заголовок №1_"/>
    <w:link w:val="14"/>
    <w:qFormat/>
    <w:rsid w:val="00a8315a"/>
    <w:rPr>
      <w:sz w:val="23"/>
      <w:szCs w:val="23"/>
      <w:shd w:fill="FFFFFF" w:val="clear"/>
    </w:rPr>
  </w:style>
  <w:style w:type="character" w:styleId="33" w:customStyle="1">
    <w:name w:val="Основной текст (3)_"/>
    <w:link w:val="36"/>
    <w:qFormat/>
    <w:rsid w:val="00a8315a"/>
    <w:rPr>
      <w:rFonts w:ascii="Arial Narrow" w:hAnsi="Arial Narrow"/>
      <w:sz w:val="19"/>
      <w:szCs w:val="19"/>
      <w:shd w:fill="FFFFFF" w:val="clear"/>
    </w:rPr>
  </w:style>
  <w:style w:type="character" w:styleId="42" w:customStyle="1">
    <w:name w:val="Основной текст (4)_"/>
    <w:link w:val="43"/>
    <w:qFormat/>
    <w:rsid w:val="00a8315a"/>
    <w:rPr>
      <w:rFonts w:ascii="Arial Narrow" w:hAnsi="Arial Narrow"/>
      <w:shd w:fill="FFFFFF" w:val="clear"/>
    </w:rPr>
  </w:style>
  <w:style w:type="character" w:styleId="22" w:customStyle="1">
    <w:name w:val="Заголовок №2_"/>
    <w:link w:val="24"/>
    <w:qFormat/>
    <w:rsid w:val="00a8315a"/>
    <w:rPr>
      <w:sz w:val="22"/>
      <w:szCs w:val="22"/>
      <w:shd w:fill="FFFFFF" w:val="clear"/>
    </w:rPr>
  </w:style>
  <w:style w:type="character" w:styleId="2ArialNarrow" w:customStyle="1">
    <w:name w:val="Заголовок №2 + Arial Narrow"/>
    <w:qFormat/>
    <w:rsid w:val="00a8315a"/>
    <w:rPr>
      <w:rFonts w:ascii="Arial Narrow" w:hAnsi="Arial Narrow" w:cs="Arial Narrow"/>
      <w:sz w:val="20"/>
      <w:szCs w:val="20"/>
      <w:shd w:fill="FFFFFF" w:val="clear"/>
    </w:rPr>
  </w:style>
  <w:style w:type="character" w:styleId="210pt1" w:customStyle="1">
    <w:name w:val="Заголовок №2 + 10 pt"/>
    <w:qFormat/>
    <w:rsid w:val="00a8315a"/>
    <w:rPr>
      <w:sz w:val="20"/>
      <w:szCs w:val="20"/>
      <w:shd w:fill="FFFFFF" w:val="clear"/>
    </w:rPr>
  </w:style>
  <w:style w:type="character" w:styleId="210pt11" w:customStyle="1">
    <w:name w:val="Заголовок №2 + 10 pt1"/>
    <w:qFormat/>
    <w:rsid w:val="00a8315a"/>
    <w:rPr>
      <w:sz w:val="20"/>
      <w:szCs w:val="20"/>
      <w:shd w:fill="FFFFFF" w:val="clear"/>
    </w:rPr>
  </w:style>
  <w:style w:type="character" w:styleId="914pt" w:customStyle="1">
    <w:name w:val="Основной текст (9) + 14 pt"/>
    <w:qFormat/>
    <w:rsid w:val="00a8315a"/>
    <w:rPr>
      <w:rFonts w:ascii="Times New Roman" w:hAnsi="Times New Roman" w:cs="Times New Roman"/>
      <w:spacing w:val="0"/>
      <w:sz w:val="28"/>
      <w:szCs w:val="28"/>
      <w:lang w:bidi="ar-SA"/>
    </w:rPr>
  </w:style>
  <w:style w:type="character" w:styleId="93" w:customStyle="1">
    <w:name w:val="Основной текст (9) + Полужирный"/>
    <w:qFormat/>
    <w:rsid w:val="00a8315a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styleId="911" w:customStyle="1">
    <w:name w:val="Основной текст (9) + Полужирный1"/>
    <w:qFormat/>
    <w:rsid w:val="00a8315a"/>
    <w:rPr>
      <w:rFonts w:ascii="Times New Roman" w:hAnsi="Times New Roman" w:cs="Times New Roman"/>
      <w:b/>
      <w:bCs/>
      <w:spacing w:val="0"/>
      <w:sz w:val="22"/>
      <w:szCs w:val="22"/>
      <w:lang w:bidi="ar-SA"/>
    </w:rPr>
  </w:style>
  <w:style w:type="character" w:styleId="221" w:customStyle="1">
    <w:name w:val="Заголовок №2 (2)_"/>
    <w:link w:val="221"/>
    <w:qFormat/>
    <w:rsid w:val="00a8315a"/>
    <w:rPr>
      <w:rFonts w:ascii="Arial Narrow" w:hAnsi="Arial Narrow"/>
      <w:shd w:fill="FFFFFF" w:val="clear"/>
    </w:rPr>
  </w:style>
  <w:style w:type="character" w:styleId="22TimesNewRoman" w:customStyle="1">
    <w:name w:val="Заголовок №2 (2) + Times New Roman"/>
    <w:qFormat/>
    <w:rsid w:val="00a8315a"/>
    <w:rPr>
      <w:rFonts w:ascii="Times New Roman" w:hAnsi="Times New Roman" w:cs="Times New Roman"/>
      <w:i/>
      <w:iCs/>
      <w:sz w:val="22"/>
      <w:szCs w:val="22"/>
      <w:shd w:fill="FFFFFF" w:val="clear"/>
    </w:rPr>
  </w:style>
  <w:style w:type="character" w:styleId="Style15" w:customStyle="1">
    <w:name w:val="Заголовок Знак"/>
    <w:link w:val="af6"/>
    <w:uiPriority w:val="10"/>
    <w:qFormat/>
    <w:rsid w:val="00dc77d9"/>
    <w:rPr>
      <w:b/>
      <w:bCs/>
      <w:sz w:val="28"/>
      <w:szCs w:val="28"/>
    </w:rPr>
  </w:style>
  <w:style w:type="character" w:styleId="Style16" w:customStyle="1">
    <w:name w:val="Название объекта Знак"/>
    <w:link w:val="af9"/>
    <w:qFormat/>
    <w:rsid w:val="007f0245"/>
    <w:rPr>
      <w:b/>
      <w:bCs/>
    </w:rPr>
  </w:style>
  <w:style w:type="character" w:styleId="12" w:customStyle="1">
    <w:name w:val="Текст сноски Знак1"/>
    <w:link w:val="afb"/>
    <w:qFormat/>
    <w:rsid w:val="007f0245"/>
    <w:rPr/>
  </w:style>
  <w:style w:type="character" w:styleId="Style17" w:customStyle="1">
    <w:name w:val="Текст сноски Знак"/>
    <w:basedOn w:val="DefaultParagraphFont"/>
    <w:qFormat/>
    <w:rsid w:val="007f0245"/>
    <w:rPr/>
  </w:style>
  <w:style w:type="character" w:styleId="Style18">
    <w:name w:val="Привязка сноски"/>
    <w:rPr>
      <w:vertAlign w:val="superscript"/>
    </w:rPr>
  </w:style>
  <w:style w:type="character" w:styleId="FootnoteCharacters">
    <w:name w:val="Footnote Characters"/>
    <w:qFormat/>
    <w:rsid w:val="007f0245"/>
    <w:rPr>
      <w:vertAlign w:val="superscript"/>
    </w:rPr>
  </w:style>
  <w:style w:type="character" w:styleId="Applestylespan" w:customStyle="1">
    <w:name w:val="apple-style-span"/>
    <w:basedOn w:val="DefaultParagraphFont"/>
    <w:qFormat/>
    <w:rsid w:val="007f0245"/>
    <w:rPr/>
  </w:style>
  <w:style w:type="character" w:styleId="312pt" w:customStyle="1">
    <w:name w:val="Основной текст (3) + 12 pt"/>
    <w:qFormat/>
    <w:rsid w:val="00b56d43"/>
    <w:rPr>
      <w:b/>
      <w:bCs/>
      <w:sz w:val="24"/>
      <w:szCs w:val="24"/>
      <w:lang w:bidi="ar-SA"/>
    </w:rPr>
  </w:style>
  <w:style w:type="character" w:styleId="121" w:customStyle="1">
    <w:name w:val="Заголовок №1 (2)_"/>
    <w:link w:val="121"/>
    <w:qFormat/>
    <w:rsid w:val="00b56d43"/>
    <w:rPr>
      <w:sz w:val="28"/>
      <w:szCs w:val="28"/>
      <w:shd w:fill="FFFFFF" w:val="clear"/>
    </w:rPr>
  </w:style>
  <w:style w:type="character" w:styleId="122" w:customStyle="1">
    <w:name w:val="Заголовок №1 (2)"/>
    <w:qFormat/>
    <w:rsid w:val="00b56d43"/>
    <w:rPr/>
  </w:style>
  <w:style w:type="character" w:styleId="95" w:customStyle="1">
    <w:name w:val="Подпись к таблице + 9"/>
    <w:qFormat/>
    <w:rsid w:val="00b56d43"/>
    <w:rPr>
      <w:b/>
      <w:bCs/>
      <w:sz w:val="19"/>
      <w:szCs w:val="19"/>
      <w:lang w:bidi="ar-SA"/>
    </w:rPr>
  </w:style>
  <w:style w:type="character" w:styleId="5" w:customStyle="1">
    <w:name w:val="Основной текст (5)_"/>
    <w:link w:val="50"/>
    <w:qFormat/>
    <w:rsid w:val="00b56d43"/>
    <w:rPr>
      <w:sz w:val="19"/>
      <w:szCs w:val="19"/>
      <w:shd w:fill="FFFFFF" w:val="clear"/>
    </w:rPr>
  </w:style>
  <w:style w:type="character" w:styleId="23" w:customStyle="1">
    <w:name w:val="Основной текст (2)_"/>
    <w:link w:val="211"/>
    <w:qFormat/>
    <w:rsid w:val="00b56d43"/>
    <w:rPr>
      <w:shd w:fill="FFFFFF" w:val="clear"/>
    </w:rPr>
  </w:style>
  <w:style w:type="character" w:styleId="321" w:customStyle="1">
    <w:name w:val="Основной текст (3)2"/>
    <w:qFormat/>
    <w:rsid w:val="00b56d43"/>
    <w:rPr>
      <w:rFonts w:ascii="Times New Roman" w:hAnsi="Times New Roman" w:cs="Times New Roman"/>
      <w:b w:val="false"/>
      <w:bCs w:val="false"/>
      <w:spacing w:val="0"/>
      <w:sz w:val="19"/>
      <w:szCs w:val="19"/>
      <w:lang w:bidi="ar-SA"/>
    </w:rPr>
  </w:style>
  <w:style w:type="character" w:styleId="34" w:customStyle="1">
    <w:name w:val="Подпись к таблице (3)_"/>
    <w:link w:val="311"/>
    <w:qFormat/>
    <w:rsid w:val="00b56d43"/>
    <w:rPr>
      <w:sz w:val="19"/>
      <w:szCs w:val="19"/>
      <w:shd w:fill="FFFFFF" w:val="clear"/>
    </w:rPr>
  </w:style>
  <w:style w:type="character" w:styleId="35" w:customStyle="1">
    <w:name w:val="Подпись к таблице (3)"/>
    <w:qFormat/>
    <w:rsid w:val="00b56d43"/>
    <w:rPr/>
  </w:style>
  <w:style w:type="character" w:styleId="24" w:customStyle="1">
    <w:name w:val="Основной текст (2)"/>
    <w:qFormat/>
    <w:rsid w:val="00b56d43"/>
    <w:rPr/>
  </w:style>
  <w:style w:type="character" w:styleId="13" w:customStyle="1">
    <w:name w:val="Название Знак1"/>
    <w:uiPriority w:val="99"/>
    <w:qFormat/>
    <w:locked/>
    <w:rsid w:val="00f85682"/>
    <w:rPr>
      <w:rFonts w:cs="Times New Roman"/>
      <w:b/>
      <w:bCs/>
      <w:sz w:val="28"/>
      <w:szCs w:val="28"/>
    </w:rPr>
  </w:style>
  <w:style w:type="character" w:styleId="Style19" w:customStyle="1">
    <w:name w:val="Верхний колонтитул Знак"/>
    <w:link w:val="a4"/>
    <w:uiPriority w:val="99"/>
    <w:qFormat/>
    <w:rsid w:val="002e6b39"/>
    <w:rPr>
      <w:sz w:val="24"/>
      <w:szCs w:val="24"/>
    </w:rPr>
  </w:style>
  <w:style w:type="character" w:styleId="43" w:customStyle="1">
    <w:name w:val="Заголовок 4 Знак"/>
    <w:link w:val="4"/>
    <w:semiHidden/>
    <w:qFormat/>
    <w:rsid w:val="00391129"/>
    <w:rPr>
      <w:rFonts w:ascii="Calibri" w:hAnsi="Calibri" w:eastAsia="Times New Roman" w:cs="Times New Roman"/>
      <w:b/>
      <w:bCs/>
      <w:sz w:val="28"/>
      <w:szCs w:val="28"/>
    </w:rPr>
  </w:style>
  <w:style w:type="character" w:styleId="36" w:customStyle="1">
    <w:name w:val="Основной текст 3 Знак"/>
    <w:link w:val="39"/>
    <w:qFormat/>
    <w:rsid w:val="00391129"/>
    <w:rPr>
      <w:sz w:val="16"/>
      <w:szCs w:val="16"/>
    </w:rPr>
  </w:style>
  <w:style w:type="character" w:styleId="25" w:customStyle="1">
    <w:name w:val="Основной текст с отступом 2 Знак"/>
    <w:link w:val="28"/>
    <w:qFormat/>
    <w:rsid w:val="003647f8"/>
    <w:rPr>
      <w:sz w:val="24"/>
      <w:szCs w:val="24"/>
    </w:rPr>
  </w:style>
  <w:style w:type="character" w:styleId="Style20" w:customStyle="1">
    <w:name w:val="Обычный ккк Знак"/>
    <w:link w:val="a"/>
    <w:qFormat/>
    <w:locked/>
    <w:rsid w:val="003647f8"/>
    <w:rPr>
      <w:sz w:val="28"/>
    </w:rPr>
  </w:style>
  <w:style w:type="character" w:styleId="14" w:customStyle="1">
    <w:name w:val="Обычный1 Знак"/>
    <w:link w:val="19"/>
    <w:qFormat/>
    <w:locked/>
    <w:rsid w:val="003647f8"/>
    <w:rPr>
      <w:lang w:val="ru-RU" w:eastAsia="ru-RU" w:bidi="ar-SA"/>
    </w:rPr>
  </w:style>
  <w:style w:type="character" w:styleId="111" w:customStyle="1">
    <w:name w:val="Стиль 11 пт"/>
    <w:qFormat/>
    <w:rsid w:val="003647f8"/>
    <w:rPr>
      <w:sz w:val="22"/>
    </w:rPr>
  </w:style>
  <w:style w:type="character" w:styleId="121Tahoma10" w:customStyle="1">
    <w:name w:val="Стиль Стиль 12 пт Черный1 + Tahoma 10 пт"/>
    <w:qFormat/>
    <w:rsid w:val="00e179ea"/>
    <w:rPr>
      <w:rFonts w:ascii="Tahoma" w:hAnsi="Tahoma" w:cs="Tahoma"/>
      <w:color w:val="000000"/>
      <w:sz w:val="20"/>
      <w:szCs w:val="20"/>
    </w:rPr>
  </w:style>
  <w:style w:type="character" w:styleId="26" w:customStyle="1">
    <w:name w:val="Основной текст 2 Знак"/>
    <w:basedOn w:val="DefaultParagraphFont"/>
    <w:link w:val="2b"/>
    <w:semiHidden/>
    <w:qFormat/>
    <w:rsid w:val="00e179ea"/>
    <w:rPr>
      <w:sz w:val="24"/>
      <w:szCs w:val="24"/>
    </w:rPr>
  </w:style>
  <w:style w:type="character" w:styleId="Style21" w:customStyle="1">
    <w:name w:val="Основной текст Знак"/>
    <w:link w:val="a8"/>
    <w:qFormat/>
    <w:rsid w:val="00337586"/>
    <w:rPr/>
  </w:style>
  <w:style w:type="character" w:styleId="ListLabel1">
    <w:name w:val="ListLabel 1"/>
    <w:qFormat/>
    <w:rPr>
      <w:b w:val="false"/>
    </w:rPr>
  </w:style>
  <w:style w:type="character" w:styleId="ListLabel2">
    <w:name w:val="ListLabel 2"/>
    <w:qFormat/>
    <w:rPr>
      <w:b w:val="false"/>
    </w:rPr>
  </w:style>
  <w:style w:type="character" w:styleId="ListLabel3">
    <w:name w:val="ListLabel 3"/>
    <w:qFormat/>
    <w:rPr>
      <w:b w:val="false"/>
    </w:rPr>
  </w:style>
  <w:style w:type="character" w:styleId="ListLabel4">
    <w:name w:val="ListLabel 4"/>
    <w:qFormat/>
    <w:rPr>
      <w:b w:val="false"/>
    </w:rPr>
  </w:style>
  <w:style w:type="character" w:styleId="ListLabel5">
    <w:name w:val="ListLabel 5"/>
    <w:qFormat/>
    <w:rPr>
      <w:b w:val="false"/>
    </w:rPr>
  </w:style>
  <w:style w:type="character" w:styleId="ListLabel6">
    <w:name w:val="ListLabel 6"/>
    <w:qFormat/>
    <w:rPr>
      <w:b w:val="false"/>
    </w:rPr>
  </w:style>
  <w:style w:type="character" w:styleId="ListLabel7">
    <w:name w:val="ListLabel 7"/>
    <w:qFormat/>
    <w:rPr>
      <w:b w:val="false"/>
    </w:rPr>
  </w:style>
  <w:style w:type="character" w:styleId="ListLabel8">
    <w:name w:val="ListLabel 8"/>
    <w:qFormat/>
    <w:rPr>
      <w:b w:val="false"/>
    </w:rPr>
  </w:style>
  <w:style w:type="character" w:styleId="ListLabel9">
    <w:name w:val="ListLabel 9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10">
    <w:name w:val="ListLabel 10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11">
    <w:name w:val="ListLabel 11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12">
    <w:name w:val="ListLabel 12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13">
    <w:name w:val="ListLabel 13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14">
    <w:name w:val="ListLabel 14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15">
    <w:name w:val="ListLabel 15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16">
    <w:name w:val="ListLabel 16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17">
    <w:name w:val="ListLabel 17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18">
    <w:name w:val="ListLabel 18"/>
    <w:qFormat/>
    <w:rPr>
      <w:rFonts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6"/>
      <w:szCs w:val="26"/>
      <w:u w:val="none"/>
    </w:rPr>
  </w:style>
  <w:style w:type="character" w:styleId="ListLabel19">
    <w:name w:val="ListLabel 19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20">
    <w:name w:val="ListLabel 20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21">
    <w:name w:val="ListLabel 21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22">
    <w:name w:val="ListLabel 22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23">
    <w:name w:val="ListLabel 23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24">
    <w:name w:val="ListLabel 24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25">
    <w:name w:val="ListLabel 25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26">
    <w:name w:val="ListLabel 26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27">
    <w:name w:val="ListLabel 27"/>
    <w:qFormat/>
    <w:rPr>
      <w:rFonts w:cs="Times New Roman"/>
      <w:b w:val="false"/>
      <w:bCs w:val="false"/>
      <w:i/>
      <w:iCs/>
      <w:caps w:val="false"/>
      <w:smallCaps w:val="false"/>
      <w:strike w:val="false"/>
      <w:dstrike w:val="false"/>
      <w:color w:val="000000"/>
      <w:spacing w:val="0"/>
      <w:w w:val="100"/>
      <w:sz w:val="20"/>
      <w:szCs w:val="20"/>
      <w:u w:val="none"/>
    </w:rPr>
  </w:style>
  <w:style w:type="character" w:styleId="ListLabel28">
    <w:name w:val="ListLabel 28"/>
    <w:qFormat/>
    <w:rPr>
      <w:rFonts w:cs="Times New Roman"/>
      <w:b w:val="false"/>
      <w:bCs w:val="false"/>
      <w:i/>
      <w:iCs/>
      <w:caps w:val="false"/>
      <w:smallCaps w:val="false"/>
      <w:strike w:val="false"/>
      <w:dstrike w:val="false"/>
      <w:color w:val="000000"/>
      <w:spacing w:val="0"/>
      <w:w w:val="100"/>
      <w:sz w:val="20"/>
      <w:szCs w:val="20"/>
      <w:u w:val="none"/>
    </w:rPr>
  </w:style>
  <w:style w:type="character" w:styleId="ListLabel29">
    <w:name w:val="ListLabel 29"/>
    <w:qFormat/>
    <w:rPr>
      <w:rFonts w:cs="Times New Roman"/>
      <w:b w:val="false"/>
      <w:bCs w:val="false"/>
      <w:i/>
      <w:iCs/>
      <w:caps w:val="false"/>
      <w:smallCaps w:val="false"/>
      <w:strike w:val="false"/>
      <w:dstrike w:val="false"/>
      <w:color w:val="000000"/>
      <w:spacing w:val="0"/>
      <w:w w:val="100"/>
      <w:sz w:val="20"/>
      <w:szCs w:val="20"/>
      <w:u w:val="none"/>
    </w:rPr>
  </w:style>
  <w:style w:type="character" w:styleId="ListLabel30">
    <w:name w:val="ListLabel 30"/>
    <w:qFormat/>
    <w:rPr>
      <w:rFonts w:cs="Times New Roman"/>
      <w:b w:val="false"/>
      <w:bCs w:val="false"/>
      <w:i/>
      <w:iCs/>
      <w:caps w:val="false"/>
      <w:smallCaps w:val="false"/>
      <w:strike w:val="false"/>
      <w:dstrike w:val="false"/>
      <w:color w:val="000000"/>
      <w:spacing w:val="0"/>
      <w:w w:val="100"/>
      <w:sz w:val="20"/>
      <w:szCs w:val="20"/>
      <w:u w:val="none"/>
    </w:rPr>
  </w:style>
  <w:style w:type="character" w:styleId="ListLabel31">
    <w:name w:val="ListLabel 31"/>
    <w:qFormat/>
    <w:rPr>
      <w:rFonts w:cs="Times New Roman"/>
      <w:b w:val="false"/>
      <w:bCs w:val="false"/>
      <w:i/>
      <w:iCs/>
      <w:caps w:val="false"/>
      <w:smallCaps w:val="false"/>
      <w:strike w:val="false"/>
      <w:dstrike w:val="false"/>
      <w:color w:val="000000"/>
      <w:spacing w:val="0"/>
      <w:w w:val="100"/>
      <w:sz w:val="20"/>
      <w:szCs w:val="20"/>
      <w:u w:val="none"/>
    </w:rPr>
  </w:style>
  <w:style w:type="character" w:styleId="ListLabel32">
    <w:name w:val="ListLabel 32"/>
    <w:qFormat/>
    <w:rPr>
      <w:rFonts w:cs="Times New Roman"/>
      <w:b w:val="false"/>
      <w:bCs w:val="false"/>
      <w:i/>
      <w:iCs/>
      <w:caps w:val="false"/>
      <w:smallCaps w:val="false"/>
      <w:strike w:val="false"/>
      <w:dstrike w:val="false"/>
      <w:color w:val="000000"/>
      <w:spacing w:val="0"/>
      <w:w w:val="100"/>
      <w:sz w:val="20"/>
      <w:szCs w:val="20"/>
      <w:u w:val="none"/>
    </w:rPr>
  </w:style>
  <w:style w:type="character" w:styleId="ListLabel33">
    <w:name w:val="ListLabel 33"/>
    <w:qFormat/>
    <w:rPr>
      <w:rFonts w:cs="Times New Roman"/>
      <w:b w:val="false"/>
      <w:bCs w:val="false"/>
      <w:i/>
      <w:iCs/>
      <w:caps w:val="false"/>
      <w:smallCaps w:val="false"/>
      <w:strike w:val="false"/>
      <w:dstrike w:val="false"/>
      <w:color w:val="000000"/>
      <w:spacing w:val="0"/>
      <w:w w:val="100"/>
      <w:sz w:val="20"/>
      <w:szCs w:val="20"/>
      <w:u w:val="none"/>
    </w:rPr>
  </w:style>
  <w:style w:type="character" w:styleId="ListLabel34">
    <w:name w:val="ListLabel 34"/>
    <w:qFormat/>
    <w:rPr>
      <w:rFonts w:cs="Times New Roman"/>
      <w:b w:val="false"/>
      <w:bCs w:val="false"/>
      <w:i/>
      <w:iCs/>
      <w:caps w:val="false"/>
      <w:smallCaps w:val="false"/>
      <w:strike w:val="false"/>
      <w:dstrike w:val="false"/>
      <w:color w:val="000000"/>
      <w:spacing w:val="0"/>
      <w:w w:val="100"/>
      <w:sz w:val="20"/>
      <w:szCs w:val="20"/>
      <w:u w:val="none"/>
    </w:rPr>
  </w:style>
  <w:style w:type="character" w:styleId="ListLabel35">
    <w:name w:val="ListLabel 35"/>
    <w:qFormat/>
    <w:rPr>
      <w:rFonts w:cs="Times New Roman"/>
      <w:b w:val="false"/>
      <w:bCs w:val="false"/>
      <w:i/>
      <w:iCs/>
      <w:caps w:val="false"/>
      <w:smallCaps w:val="false"/>
      <w:strike w:val="false"/>
      <w:dstrike w:val="false"/>
      <w:color w:val="000000"/>
      <w:spacing w:val="0"/>
      <w:w w:val="100"/>
      <w:sz w:val="20"/>
      <w:szCs w:val="20"/>
      <w:u w:val="none"/>
    </w:rPr>
  </w:style>
  <w:style w:type="character" w:styleId="ListLabel36">
    <w:name w:val="ListLabel 36"/>
    <w:qFormat/>
    <w:rPr>
      <w:rFonts w:cs="Courier New"/>
    </w:rPr>
  </w:style>
  <w:style w:type="character" w:styleId="ListLabel37">
    <w:name w:val="ListLabel 37"/>
    <w:qFormat/>
    <w:rPr>
      <w:rFonts w:cs="Courier New"/>
    </w:rPr>
  </w:style>
  <w:style w:type="character" w:styleId="ListLabel38">
    <w:name w:val="ListLabel 38"/>
    <w:qFormat/>
    <w:rPr>
      <w:rFonts w:cs="Courier New"/>
    </w:rPr>
  </w:style>
  <w:style w:type="character" w:styleId="ListLabel39">
    <w:name w:val="ListLabel 39"/>
    <w:qFormat/>
    <w:rPr>
      <w:rFonts w:cs="Courier New"/>
    </w:rPr>
  </w:style>
  <w:style w:type="character" w:styleId="ListLabel40">
    <w:name w:val="ListLabel 40"/>
    <w:qFormat/>
    <w:rPr>
      <w:rFonts w:cs="Courier New"/>
    </w:rPr>
  </w:style>
  <w:style w:type="character" w:styleId="ListLabel41">
    <w:name w:val="ListLabel 41"/>
    <w:qFormat/>
    <w:rPr>
      <w:rFonts w:cs="Courier New"/>
    </w:rPr>
  </w:style>
  <w:style w:type="character" w:styleId="ListLabel42">
    <w:name w:val="ListLabel 42"/>
    <w:qFormat/>
    <w:rPr>
      <w:rFonts w:cs="Courier New"/>
    </w:rPr>
  </w:style>
  <w:style w:type="character" w:styleId="ListLabel43">
    <w:name w:val="ListLabel 43"/>
    <w:qFormat/>
    <w:rPr>
      <w:rFonts w:cs="Courier New"/>
    </w:rPr>
  </w:style>
  <w:style w:type="character" w:styleId="ListLabel44">
    <w:name w:val="ListLabel 44"/>
    <w:qFormat/>
    <w:rPr>
      <w:rFonts w:cs="Courier New"/>
    </w:rPr>
  </w:style>
  <w:style w:type="character" w:styleId="ListLabel45">
    <w:name w:val="ListLabel 45"/>
    <w:qFormat/>
    <w:rPr>
      <w:u w:val="none"/>
    </w:rPr>
  </w:style>
  <w:style w:type="character" w:styleId="ListLabel46">
    <w:name w:val="ListLabel 46"/>
    <w:qFormat/>
    <w:rPr>
      <w:sz w:val="28"/>
      <w:szCs w:val="28"/>
      <w:u w:val="none"/>
    </w:rPr>
  </w:style>
  <w:style w:type="character" w:styleId="ListLabel47">
    <w:name w:val="ListLabel 47"/>
    <w:qFormat/>
    <w:rPr>
      <w:b/>
      <w:sz w:val="32"/>
      <w:szCs w:val="32"/>
    </w:rPr>
  </w:style>
  <w:style w:type="character" w:styleId="ListLabel48">
    <w:name w:val="ListLabel 48"/>
    <w:qFormat/>
    <w:rPr>
      <w:sz w:val="28"/>
      <w:szCs w:val="28"/>
    </w:rPr>
  </w:style>
  <w:style w:type="character" w:styleId="ListLabel49">
    <w:name w:val="ListLabel 49"/>
    <w:qFormat/>
    <w:rPr>
      <w:b w:val="false"/>
      <w:sz w:val="22"/>
      <w:szCs w:val="22"/>
    </w:rPr>
  </w:style>
  <w:style w:type="character" w:styleId="ListLabel50">
    <w:name w:val="ListLabel 50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4"/>
      <w:szCs w:val="24"/>
      <w:u w:val="none"/>
    </w:rPr>
  </w:style>
  <w:style w:type="character" w:styleId="ListLabel51">
    <w:name w:val="ListLabel 51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4"/>
      <w:szCs w:val="24"/>
      <w:u w:val="none"/>
    </w:rPr>
  </w:style>
  <w:style w:type="character" w:styleId="ListLabel52">
    <w:name w:val="ListLabel 52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4"/>
      <w:szCs w:val="24"/>
      <w:u w:val="none"/>
    </w:rPr>
  </w:style>
  <w:style w:type="character" w:styleId="ListLabel53">
    <w:name w:val="ListLabel 53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4"/>
      <w:szCs w:val="24"/>
      <w:u w:val="none"/>
    </w:rPr>
  </w:style>
  <w:style w:type="character" w:styleId="ListLabel54">
    <w:name w:val="ListLabel 54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4"/>
      <w:szCs w:val="24"/>
      <w:u w:val="none"/>
    </w:rPr>
  </w:style>
  <w:style w:type="character" w:styleId="ListLabel55">
    <w:name w:val="ListLabel 55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4"/>
      <w:szCs w:val="24"/>
      <w:u w:val="none"/>
    </w:rPr>
  </w:style>
  <w:style w:type="character" w:styleId="ListLabel56">
    <w:name w:val="ListLabel 56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4"/>
      <w:szCs w:val="24"/>
      <w:u w:val="none"/>
    </w:rPr>
  </w:style>
  <w:style w:type="character" w:styleId="ListLabel57">
    <w:name w:val="ListLabel 57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4"/>
      <w:szCs w:val="24"/>
      <w:u w:val="none"/>
    </w:rPr>
  </w:style>
  <w:style w:type="character" w:styleId="ListLabel58">
    <w:name w:val="ListLabel 58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4"/>
      <w:szCs w:val="24"/>
      <w:u w:val="none"/>
    </w:rPr>
  </w:style>
  <w:style w:type="character" w:styleId="ListLabel59">
    <w:name w:val="ListLabel 59"/>
    <w:qFormat/>
    <w:rPr>
      <w:color w:val="auto"/>
    </w:rPr>
  </w:style>
  <w:style w:type="character" w:styleId="ListLabel60">
    <w:name w:val="ListLabel 60"/>
    <w:qFormat/>
    <w:rPr>
      <w:rFonts w:eastAsia="Times New Roman" w:cs="Times New Roman"/>
    </w:rPr>
  </w:style>
  <w:style w:type="character" w:styleId="ListLabel61">
    <w:name w:val="ListLabel 61"/>
    <w:qFormat/>
    <w:rPr>
      <w:rFonts w:eastAsia="Times New Roman" w:cs="Times New Roman"/>
    </w:rPr>
  </w:style>
  <w:style w:type="character" w:styleId="ListLabel62">
    <w:name w:val="ListLabel 62"/>
    <w:qFormat/>
    <w:rPr>
      <w:rFonts w:cs="Courier New"/>
    </w:rPr>
  </w:style>
  <w:style w:type="character" w:styleId="ListLabel63">
    <w:name w:val="ListLabel 63"/>
    <w:qFormat/>
    <w:rPr>
      <w:rFonts w:cs="Courier New"/>
    </w:rPr>
  </w:style>
  <w:style w:type="character" w:styleId="ListLabel64">
    <w:name w:val="ListLabel 64"/>
    <w:qFormat/>
    <w:rPr>
      <w:rFonts w:cs="Courier New"/>
    </w:rPr>
  </w:style>
  <w:style w:type="character" w:styleId="ListLabel65">
    <w:name w:val="ListLabel 65"/>
    <w:qFormat/>
    <w:rPr>
      <w:rFonts w:cs="Times New Roman"/>
    </w:rPr>
  </w:style>
  <w:style w:type="character" w:styleId="ListLabel66">
    <w:name w:val="ListLabel 66"/>
    <w:qFormat/>
    <w:rPr>
      <w:rFonts w:cs="Times New Roman"/>
    </w:rPr>
  </w:style>
  <w:style w:type="character" w:styleId="ListLabel67">
    <w:name w:val="ListLabel 67"/>
    <w:qFormat/>
    <w:rPr>
      <w:rFonts w:cs="Times New Roman"/>
    </w:rPr>
  </w:style>
  <w:style w:type="character" w:styleId="ListLabel68">
    <w:name w:val="ListLabel 68"/>
    <w:qFormat/>
    <w:rPr>
      <w:rFonts w:cs="Times New Roman"/>
    </w:rPr>
  </w:style>
  <w:style w:type="character" w:styleId="ListLabel69">
    <w:name w:val="ListLabel 69"/>
    <w:qFormat/>
    <w:rPr>
      <w:rFonts w:cs="Times New Roman"/>
    </w:rPr>
  </w:style>
  <w:style w:type="character" w:styleId="ListLabel70">
    <w:name w:val="ListLabel 70"/>
    <w:qFormat/>
    <w:rPr>
      <w:rFonts w:cs="Times New Roman"/>
    </w:rPr>
  </w:style>
  <w:style w:type="character" w:styleId="ListLabel71">
    <w:name w:val="ListLabel 71"/>
    <w:qFormat/>
    <w:rPr>
      <w:rFonts w:cs="Times New Roman"/>
    </w:rPr>
  </w:style>
  <w:style w:type="character" w:styleId="ListLabel72">
    <w:name w:val="ListLabel 72"/>
    <w:qFormat/>
    <w:rPr>
      <w:rFonts w:cs="Times New Roman"/>
    </w:rPr>
  </w:style>
  <w:style w:type="character" w:styleId="ListLabel73">
    <w:name w:val="ListLabel 73"/>
    <w:qFormat/>
    <w:rPr>
      <w:rFonts w:cs="Times New Roman"/>
    </w:rPr>
  </w:style>
  <w:style w:type="character" w:styleId="ListLabel74">
    <w:name w:val="ListLabel 74"/>
    <w:qFormat/>
    <w:rPr/>
  </w:style>
  <w:style w:type="character" w:styleId="Style22">
    <w:name w:val="Посещённая гиперссылка"/>
    <w:rPr>
      <w:color w:val="800000"/>
      <w:u w:val="single"/>
      <w:lang w:val="zxx" w:eastAsia="zxx" w:bidi="zxx"/>
    </w:rPr>
  </w:style>
  <w:style w:type="paragraph" w:styleId="Style23">
    <w:name w:val="Заголовок"/>
    <w:basedOn w:val="Normal"/>
    <w:next w:val="Style24"/>
    <w:qFormat/>
    <w:pPr>
      <w:keepNext w:val="true"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Style24">
    <w:name w:val="Body Text"/>
    <w:basedOn w:val="Normal"/>
    <w:link w:val="a9"/>
    <w:rsid w:val="00aa2dfa"/>
    <w:pPr>
      <w:overflowPunct w:val="true"/>
      <w:spacing w:before="0" w:after="120"/>
      <w:textAlignment w:val="baseline"/>
    </w:pPr>
    <w:rPr>
      <w:sz w:val="20"/>
      <w:szCs w:val="20"/>
    </w:rPr>
  </w:style>
  <w:style w:type="paragraph" w:styleId="Style25">
    <w:name w:val="List"/>
    <w:basedOn w:val="Style24"/>
    <w:pPr/>
    <w:rPr>
      <w:rFonts w:cs="FreeSans"/>
    </w:rPr>
  </w:style>
  <w:style w:type="paragraph" w:styleId="Style26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7">
    <w:name w:val="Указатель"/>
    <w:basedOn w:val="Normal"/>
    <w:qFormat/>
    <w:pPr>
      <w:suppressLineNumbers/>
    </w:pPr>
    <w:rPr>
      <w:rFonts w:cs="FreeSans"/>
    </w:rPr>
  </w:style>
  <w:style w:type="paragraph" w:styleId="Style28">
    <w:name w:val="Header"/>
    <w:basedOn w:val="Normal"/>
    <w:link w:val="a5"/>
    <w:uiPriority w:val="99"/>
    <w:rsid w:val="008e420a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29">
    <w:name w:val="Footer"/>
    <w:basedOn w:val="Normal"/>
    <w:link w:val="a7"/>
    <w:uiPriority w:val="99"/>
    <w:rsid w:val="008e420a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30">
    <w:name w:val="Body Text Indent"/>
    <w:basedOn w:val="Normal"/>
    <w:link w:val="31"/>
    <w:rsid w:val="00aa2dfa"/>
    <w:pPr/>
    <w:rPr/>
  </w:style>
  <w:style w:type="paragraph" w:styleId="BodyTextIndent3">
    <w:name w:val="Body Text Indent 3"/>
    <w:basedOn w:val="Normal"/>
    <w:qFormat/>
    <w:rsid w:val="00aa2dfa"/>
    <w:pPr>
      <w:overflowPunct w:val="true"/>
      <w:ind w:firstLine="426"/>
      <w:jc w:val="both"/>
      <w:textAlignment w:val="baseline"/>
    </w:pPr>
    <w:rPr/>
  </w:style>
  <w:style w:type="paragraph" w:styleId="71" w:customStyle="1">
    <w:name w:val="Основной текст (7)1"/>
    <w:basedOn w:val="Normal"/>
    <w:link w:val="7"/>
    <w:qFormat/>
    <w:rsid w:val="0074401f"/>
    <w:pPr>
      <w:shd w:val="clear" w:color="auto" w:fill="FFFFFF"/>
      <w:spacing w:lineRule="atLeast" w:line="240" w:before="0" w:after="300"/>
      <w:ind w:hanging="340"/>
      <w:jc w:val="both"/>
    </w:pPr>
    <w:rPr>
      <w:b/>
      <w:bCs/>
      <w:smallCaps/>
      <w:sz w:val="26"/>
      <w:szCs w:val="26"/>
    </w:rPr>
  </w:style>
  <w:style w:type="paragraph" w:styleId="912" w:customStyle="1">
    <w:name w:val="Заголовок №91"/>
    <w:basedOn w:val="Normal"/>
    <w:link w:val="9"/>
    <w:qFormat/>
    <w:rsid w:val="00da3d07"/>
    <w:pPr>
      <w:shd w:val="clear" w:color="auto" w:fill="FFFFFF"/>
      <w:spacing w:lineRule="atLeast" w:line="240" w:before="360" w:after="0"/>
      <w:ind w:hanging="360"/>
      <w:outlineLvl w:val="8"/>
    </w:pPr>
    <w:rPr>
      <w:b/>
      <w:bCs/>
      <w:smallCaps/>
      <w:sz w:val="26"/>
      <w:szCs w:val="26"/>
    </w:rPr>
  </w:style>
  <w:style w:type="paragraph" w:styleId="1011" w:customStyle="1">
    <w:name w:val="Заголовок №101"/>
    <w:basedOn w:val="Normal"/>
    <w:link w:val="10"/>
    <w:qFormat/>
    <w:rsid w:val="005640cf"/>
    <w:pPr>
      <w:shd w:val="clear" w:color="auto" w:fill="FFFFFF"/>
      <w:spacing w:lineRule="exact" w:line="586"/>
    </w:pPr>
    <w:rPr>
      <w:b/>
      <w:bCs/>
      <w:sz w:val="20"/>
      <w:szCs w:val="20"/>
    </w:rPr>
  </w:style>
  <w:style w:type="paragraph" w:styleId="61" w:customStyle="1">
    <w:name w:val="Основной текст (6)"/>
    <w:basedOn w:val="Normal"/>
    <w:link w:val="6"/>
    <w:qFormat/>
    <w:rsid w:val="005640cf"/>
    <w:pPr>
      <w:shd w:val="clear" w:color="auto" w:fill="FFFFFF"/>
      <w:spacing w:lineRule="exact" w:line="355" w:before="60" w:after="0"/>
      <w:ind w:hanging="1380"/>
      <w:jc w:val="center"/>
    </w:pPr>
    <w:rPr>
      <w:b/>
      <w:bCs/>
      <w:sz w:val="23"/>
      <w:szCs w:val="23"/>
    </w:rPr>
  </w:style>
  <w:style w:type="paragraph" w:styleId="811" w:customStyle="1">
    <w:name w:val="Основной текст (8)1"/>
    <w:basedOn w:val="Normal"/>
    <w:link w:val="81"/>
    <w:qFormat/>
    <w:rsid w:val="005640cf"/>
    <w:pPr>
      <w:shd w:val="clear" w:color="auto" w:fill="FFFFFF"/>
      <w:spacing w:lineRule="atLeast" w:line="240" w:before="120" w:after="120"/>
      <w:ind w:hanging="560"/>
      <w:jc w:val="both"/>
    </w:pPr>
    <w:rPr>
      <w:i/>
      <w:iCs/>
      <w:sz w:val="20"/>
      <w:szCs w:val="20"/>
    </w:rPr>
  </w:style>
  <w:style w:type="paragraph" w:styleId="921" w:customStyle="1">
    <w:name w:val="Заголовок №9 (2)1"/>
    <w:basedOn w:val="Normal"/>
    <w:link w:val="92"/>
    <w:qFormat/>
    <w:rsid w:val="00d25ff1"/>
    <w:pPr>
      <w:shd w:val="clear" w:color="auto" w:fill="FFFFFF"/>
      <w:spacing w:lineRule="atLeast" w:line="240" w:before="0" w:after="360"/>
      <w:outlineLvl w:val="8"/>
    </w:pPr>
    <w:rPr>
      <w:b/>
      <w:bCs/>
      <w:sz w:val="26"/>
      <w:szCs w:val="26"/>
    </w:rPr>
  </w:style>
  <w:style w:type="paragraph" w:styleId="15" w:customStyle="1">
    <w:name w:val="Подпись к таблице1"/>
    <w:basedOn w:val="Normal"/>
    <w:link w:val="ae"/>
    <w:qFormat/>
    <w:rsid w:val="00d25ff1"/>
    <w:pPr>
      <w:shd w:val="clear" w:color="auto" w:fill="FFFFFF"/>
      <w:spacing w:lineRule="atLeast" w:line="240"/>
    </w:pPr>
    <w:rPr>
      <w:i/>
      <w:iCs/>
      <w:sz w:val="20"/>
      <w:szCs w:val="20"/>
    </w:rPr>
  </w:style>
  <w:style w:type="paragraph" w:styleId="1013" w:customStyle="1">
    <w:name w:val="Основной текст (10)1"/>
    <w:basedOn w:val="Normal"/>
    <w:link w:val="100"/>
    <w:qFormat/>
    <w:rsid w:val="00d25ff1"/>
    <w:pPr>
      <w:shd w:val="clear" w:color="auto" w:fill="FFFFFF"/>
      <w:spacing w:lineRule="atLeast" w:line="240"/>
      <w:ind w:hanging="560"/>
    </w:pPr>
    <w:rPr>
      <w:b/>
      <w:bCs/>
      <w:sz w:val="19"/>
      <w:szCs w:val="19"/>
    </w:rPr>
  </w:style>
  <w:style w:type="paragraph" w:styleId="913" w:customStyle="1">
    <w:name w:val="Основной текст (9)1"/>
    <w:basedOn w:val="Normal"/>
    <w:link w:val="90"/>
    <w:qFormat/>
    <w:rsid w:val="00d25ff1"/>
    <w:pPr>
      <w:shd w:val="clear" w:color="auto" w:fill="FFFFFF"/>
      <w:spacing w:lineRule="atLeast" w:line="240"/>
    </w:pPr>
    <w:rPr>
      <w:sz w:val="19"/>
      <w:szCs w:val="19"/>
    </w:rPr>
  </w:style>
  <w:style w:type="paragraph" w:styleId="27" w:customStyle="1">
    <w:name w:val="Подпись к таблице (2)"/>
    <w:basedOn w:val="Normal"/>
    <w:link w:val="20"/>
    <w:qFormat/>
    <w:rsid w:val="00d25ff1"/>
    <w:pPr>
      <w:shd w:val="clear" w:color="auto" w:fill="FFFFFF"/>
      <w:spacing w:lineRule="atLeast" w:line="240"/>
    </w:pPr>
    <w:rPr>
      <w:i/>
      <w:iCs/>
      <w:sz w:val="19"/>
      <w:szCs w:val="19"/>
    </w:rPr>
  </w:style>
  <w:style w:type="paragraph" w:styleId="Style31" w:customStyle="1">
    <w:name w:val="Список с точками"/>
    <w:basedOn w:val="Normal"/>
    <w:next w:val="Normal"/>
    <w:qFormat/>
    <w:rsid w:val="003d0980"/>
    <w:pPr>
      <w:tabs>
        <w:tab w:val="clear" w:pos="708"/>
        <w:tab w:val="left" w:pos="720" w:leader="none"/>
      </w:tabs>
      <w:spacing w:lineRule="exact" w:line="260" w:before="60" w:after="60"/>
      <w:ind w:left="720" w:hanging="720"/>
      <w:jc w:val="both"/>
      <w:outlineLvl w:val="6"/>
    </w:pPr>
    <w:rPr>
      <w:rFonts w:ascii="Vanta Light" w:hAnsi="Vanta Light"/>
      <w:kern w:val="2"/>
      <w:sz w:val="16"/>
      <w:szCs w:val="16"/>
    </w:rPr>
  </w:style>
  <w:style w:type="paragraph" w:styleId="28">
    <w:name w:val="TOC 2"/>
    <w:basedOn w:val="Normal"/>
    <w:next w:val="Normal"/>
    <w:autoRedefine/>
    <w:uiPriority w:val="39"/>
    <w:rsid w:val="00716026"/>
    <w:pPr>
      <w:ind w:left="240" w:hanging="0"/>
    </w:pPr>
    <w:rPr/>
  </w:style>
  <w:style w:type="paragraph" w:styleId="16">
    <w:name w:val="TOC 1"/>
    <w:basedOn w:val="Normal"/>
    <w:next w:val="Normal"/>
    <w:autoRedefine/>
    <w:uiPriority w:val="39"/>
    <w:rsid w:val="00716026"/>
    <w:pPr/>
    <w:rPr/>
  </w:style>
  <w:style w:type="paragraph" w:styleId="37">
    <w:name w:val="TOC 3"/>
    <w:basedOn w:val="Normal"/>
    <w:next w:val="Normal"/>
    <w:autoRedefine/>
    <w:uiPriority w:val="39"/>
    <w:rsid w:val="00f848cf"/>
    <w:pPr>
      <w:tabs>
        <w:tab w:val="clear" w:pos="708"/>
        <w:tab w:val="right" w:pos="9912" w:leader="dot"/>
      </w:tabs>
      <w:jc w:val="both"/>
    </w:pPr>
    <w:rPr>
      <w:color w:val="000000"/>
    </w:rPr>
  </w:style>
  <w:style w:type="paragraph" w:styleId="Xl22" w:customStyle="1">
    <w:name w:val="xl22"/>
    <w:basedOn w:val="Normal"/>
    <w:qFormat/>
    <w:rsid w:val="00141032"/>
    <w:pPr>
      <w:spacing w:before="100" w:after="100"/>
      <w:jc w:val="center"/>
    </w:pPr>
    <w:rPr>
      <w:szCs w:val="20"/>
    </w:rPr>
  </w:style>
  <w:style w:type="paragraph" w:styleId="NormalWeb">
    <w:name w:val="Normal (Web)"/>
    <w:basedOn w:val="Normal"/>
    <w:uiPriority w:val="99"/>
    <w:qFormat/>
    <w:rsid w:val="00627808"/>
    <w:pPr/>
    <w:rPr/>
  </w:style>
  <w:style w:type="paragraph" w:styleId="BalloonText">
    <w:name w:val="Balloon Text"/>
    <w:basedOn w:val="Normal"/>
    <w:link w:val="af5"/>
    <w:qFormat/>
    <w:rsid w:val="009832ef"/>
    <w:pPr/>
    <w:rPr>
      <w:rFonts w:ascii="Tahoma" w:hAnsi="Tahoma"/>
      <w:sz w:val="16"/>
      <w:szCs w:val="16"/>
    </w:rPr>
  </w:style>
  <w:style w:type="paragraph" w:styleId="17" w:customStyle="1">
    <w:name w:val="Заголовок №1"/>
    <w:basedOn w:val="Normal"/>
    <w:link w:val="13"/>
    <w:qFormat/>
    <w:rsid w:val="00a8315a"/>
    <w:pPr>
      <w:shd w:val="clear" w:color="auto" w:fill="FFFFFF"/>
      <w:spacing w:lineRule="exact" w:line="307" w:before="0" w:after="300"/>
      <w:jc w:val="center"/>
      <w:outlineLvl w:val="0"/>
    </w:pPr>
    <w:rPr>
      <w:b/>
      <w:bCs/>
      <w:sz w:val="23"/>
      <w:szCs w:val="23"/>
    </w:rPr>
  </w:style>
  <w:style w:type="paragraph" w:styleId="38" w:customStyle="1">
    <w:name w:val="Основной текст (3)"/>
    <w:basedOn w:val="Normal"/>
    <w:link w:val="35"/>
    <w:qFormat/>
    <w:rsid w:val="00a8315a"/>
    <w:pPr>
      <w:shd w:val="clear" w:color="auto" w:fill="FFFFFF"/>
      <w:spacing w:lineRule="exact" w:line="250"/>
      <w:jc w:val="both"/>
    </w:pPr>
    <w:rPr>
      <w:rFonts w:ascii="Arial Narrow" w:hAnsi="Arial Narrow"/>
      <w:sz w:val="19"/>
      <w:szCs w:val="19"/>
    </w:rPr>
  </w:style>
  <w:style w:type="paragraph" w:styleId="44" w:customStyle="1">
    <w:name w:val="Основной текст (4)"/>
    <w:basedOn w:val="Normal"/>
    <w:link w:val="42"/>
    <w:qFormat/>
    <w:rsid w:val="00a8315a"/>
    <w:pPr>
      <w:shd w:val="clear" w:color="auto" w:fill="FFFFFF"/>
      <w:spacing w:lineRule="atLeast" w:line="240"/>
    </w:pPr>
    <w:rPr>
      <w:rFonts w:ascii="Arial Narrow" w:hAnsi="Arial Narrow"/>
      <w:b/>
      <w:bCs/>
      <w:sz w:val="20"/>
      <w:szCs w:val="20"/>
    </w:rPr>
  </w:style>
  <w:style w:type="paragraph" w:styleId="84" w:customStyle="1">
    <w:name w:val="Основной текст (8)"/>
    <w:basedOn w:val="Normal"/>
    <w:qFormat/>
    <w:rsid w:val="00a8315a"/>
    <w:pPr>
      <w:shd w:val="clear" w:color="auto" w:fill="FFFFFF"/>
      <w:spacing w:lineRule="exact" w:line="269" w:before="360" w:after="660"/>
      <w:jc w:val="center"/>
    </w:pPr>
    <w:rPr>
      <w:rFonts w:eastAsia="DejaVu Sans"/>
      <w:sz w:val="20"/>
      <w:szCs w:val="20"/>
    </w:rPr>
  </w:style>
  <w:style w:type="paragraph" w:styleId="29" w:customStyle="1">
    <w:name w:val="Заголовок №2"/>
    <w:basedOn w:val="Normal"/>
    <w:link w:val="23"/>
    <w:qFormat/>
    <w:rsid w:val="00a8315a"/>
    <w:pPr>
      <w:shd w:val="clear" w:color="auto" w:fill="FFFFFF"/>
      <w:spacing w:lineRule="atLeast" w:line="240" w:before="660" w:after="120"/>
      <w:jc w:val="center"/>
      <w:outlineLvl w:val="1"/>
    </w:pPr>
    <w:rPr>
      <w:b/>
      <w:bCs/>
      <w:sz w:val="22"/>
      <w:szCs w:val="22"/>
    </w:rPr>
  </w:style>
  <w:style w:type="paragraph" w:styleId="97" w:customStyle="1">
    <w:name w:val="Основной текст (9)"/>
    <w:basedOn w:val="Normal"/>
    <w:qFormat/>
    <w:rsid w:val="00a8315a"/>
    <w:pPr>
      <w:shd w:val="clear" w:color="auto" w:fill="FFFFFF"/>
      <w:spacing w:lineRule="exact" w:line="706" w:before="120" w:after="0"/>
      <w:jc w:val="right"/>
    </w:pPr>
    <w:rPr>
      <w:rFonts w:eastAsia="DejaVu Sans"/>
      <w:sz w:val="22"/>
      <w:szCs w:val="22"/>
    </w:rPr>
  </w:style>
  <w:style w:type="paragraph" w:styleId="222" w:customStyle="1">
    <w:name w:val="Заголовок №2 (2)"/>
    <w:basedOn w:val="Normal"/>
    <w:link w:val="220"/>
    <w:qFormat/>
    <w:rsid w:val="00a8315a"/>
    <w:pPr>
      <w:shd w:val="clear" w:color="auto" w:fill="FFFFFF"/>
      <w:spacing w:lineRule="exact" w:line="566" w:before="420" w:after="60"/>
      <w:jc w:val="right"/>
      <w:outlineLvl w:val="1"/>
    </w:pPr>
    <w:rPr>
      <w:rFonts w:ascii="Arial Narrow" w:hAnsi="Arial Narrow"/>
      <w:b/>
      <w:bCs/>
      <w:sz w:val="20"/>
      <w:szCs w:val="20"/>
    </w:rPr>
  </w:style>
  <w:style w:type="paragraph" w:styleId="Style32">
    <w:name w:val="Title"/>
    <w:basedOn w:val="Normal"/>
    <w:link w:val="af7"/>
    <w:uiPriority w:val="10"/>
    <w:qFormat/>
    <w:rsid w:val="00dc77d9"/>
    <w:pPr>
      <w:jc w:val="center"/>
    </w:pPr>
    <w:rPr>
      <w:b/>
      <w:bCs/>
      <w:sz w:val="28"/>
      <w:szCs w:val="28"/>
    </w:rPr>
  </w:style>
  <w:style w:type="paragraph" w:styleId="Style33" w:customStyle="1">
    <w:name w:val="Стиль Интелис"/>
    <w:basedOn w:val="Normal"/>
    <w:qFormat/>
    <w:rsid w:val="007f0245"/>
    <w:pPr>
      <w:spacing w:before="120" w:after="120"/>
      <w:ind w:firstLine="567"/>
      <w:jc w:val="both"/>
    </w:pPr>
    <w:rPr>
      <w:rFonts w:ascii="Myriad Pro Cond" w:hAnsi="Myriad Pro Cond"/>
      <w:szCs w:val="20"/>
    </w:rPr>
  </w:style>
  <w:style w:type="paragraph" w:styleId="Caption">
    <w:name w:val="caption"/>
    <w:basedOn w:val="Normal"/>
    <w:next w:val="Normal"/>
    <w:link w:val="afa"/>
    <w:qFormat/>
    <w:rsid w:val="007f0245"/>
    <w:pPr/>
    <w:rPr>
      <w:b/>
      <w:bCs/>
      <w:sz w:val="20"/>
      <w:szCs w:val="20"/>
    </w:rPr>
  </w:style>
  <w:style w:type="paragraph" w:styleId="Style34">
    <w:name w:val="Footnote Text"/>
    <w:basedOn w:val="Normal"/>
    <w:link w:val="15"/>
    <w:rsid w:val="007f0245"/>
    <w:pPr/>
    <w:rPr>
      <w:sz w:val="20"/>
      <w:szCs w:val="20"/>
    </w:rPr>
  </w:style>
  <w:style w:type="paragraph" w:styleId="EBody" w:customStyle="1">
    <w:name w:val="EBody"/>
    <w:basedOn w:val="Normal"/>
    <w:qFormat/>
    <w:rsid w:val="007f0245"/>
    <w:pPr>
      <w:spacing w:before="60" w:after="60"/>
      <w:ind w:firstLine="567"/>
    </w:pPr>
    <w:rPr>
      <w:rFonts w:ascii="Tahoma" w:hAnsi="Tahoma"/>
      <w:sz w:val="18"/>
      <w:szCs w:val="20"/>
    </w:rPr>
  </w:style>
  <w:style w:type="paragraph" w:styleId="39" w:customStyle="1">
    <w:name w:val="Стиль Заголовок 3"/>
    <w:basedOn w:val="3"/>
    <w:qFormat/>
    <w:rsid w:val="00531b07"/>
    <w:pPr/>
    <w:rPr>
      <w:rFonts w:ascii="Myriad Pro Cond" w:hAnsi="Myriad Pro Cond" w:cs="Times New Roman"/>
      <w:color w:val="127BCA"/>
      <w:sz w:val="24"/>
      <w:szCs w:val="24"/>
    </w:rPr>
  </w:style>
  <w:style w:type="paragraph" w:styleId="18" w:customStyle="1">
    <w:name w:val="Стиль Заголовок 1"/>
    <w:basedOn w:val="1"/>
    <w:next w:val="Normal"/>
    <w:qFormat/>
    <w:rsid w:val="009c6f89"/>
    <w:pPr>
      <w:pageBreakBefore/>
      <w:tabs>
        <w:tab w:val="left" w:pos="-1260" w:leader="none"/>
        <w:tab w:val="left" w:pos="-900" w:leader="none"/>
        <w:tab w:val="left" w:pos="680" w:leader="none"/>
        <w:tab w:val="left" w:pos="2160" w:leader="none"/>
      </w:tabs>
      <w:overflowPunct w:val="false"/>
      <w:spacing w:lineRule="auto" w:line="240"/>
      <w:jc w:val="left"/>
      <w:textAlignment w:val="auto"/>
    </w:pPr>
    <w:rPr>
      <w:rFonts w:ascii="Myriad Pro Cond" w:hAnsi="Myriad Pro Cond"/>
      <w:bCs/>
      <w:color w:val="127BCA"/>
      <w:kern w:val="2"/>
    </w:rPr>
  </w:style>
  <w:style w:type="paragraph" w:styleId="210" w:customStyle="1">
    <w:name w:val="Стиль Заголовок 2"/>
    <w:basedOn w:val="2"/>
    <w:next w:val="Normal"/>
    <w:qFormat/>
    <w:rsid w:val="009c6f89"/>
    <w:pPr>
      <w:tabs>
        <w:tab w:val="clear" w:pos="708"/>
        <w:tab w:val="left" w:pos="851" w:leader="none"/>
      </w:tabs>
      <w:spacing w:before="120" w:after="120"/>
    </w:pPr>
    <w:rPr>
      <w:rFonts w:ascii="Myriad Pro Cond" w:hAnsi="Myriad Pro Cond" w:cs="Arial"/>
      <w:color w:val="127BCA"/>
      <w:sz w:val="28"/>
      <w:szCs w:val="20"/>
    </w:rPr>
  </w:style>
  <w:style w:type="paragraph" w:styleId="311" w:customStyle="1">
    <w:name w:val="Основной текст (3)1"/>
    <w:basedOn w:val="Normal"/>
    <w:qFormat/>
    <w:rsid w:val="00687628"/>
    <w:pPr>
      <w:shd w:val="clear" w:color="auto" w:fill="FFFFFF"/>
      <w:spacing w:lineRule="atLeast" w:line="240"/>
    </w:pPr>
    <w:rPr>
      <w:b/>
      <w:bCs/>
      <w:sz w:val="19"/>
      <w:szCs w:val="19"/>
    </w:rPr>
  </w:style>
  <w:style w:type="paragraph" w:styleId="1211" w:customStyle="1">
    <w:name w:val="Заголовок №1 (2)1"/>
    <w:basedOn w:val="Normal"/>
    <w:link w:val="120"/>
    <w:qFormat/>
    <w:rsid w:val="00b56d43"/>
    <w:pPr>
      <w:shd w:val="clear" w:color="auto" w:fill="FFFFFF"/>
      <w:spacing w:lineRule="atLeast" w:line="240" w:before="300" w:after="300"/>
      <w:outlineLvl w:val="0"/>
    </w:pPr>
    <w:rPr>
      <w:b/>
      <w:bCs/>
      <w:sz w:val="28"/>
      <w:szCs w:val="28"/>
    </w:rPr>
  </w:style>
  <w:style w:type="paragraph" w:styleId="411" w:customStyle="1">
    <w:name w:val="Основной текст (4)1"/>
    <w:basedOn w:val="Normal"/>
    <w:qFormat/>
    <w:rsid w:val="00b56d43"/>
    <w:pPr>
      <w:shd w:val="clear" w:color="auto" w:fill="FFFFFF"/>
      <w:spacing w:lineRule="atLeast" w:line="240"/>
    </w:pPr>
    <w:rPr>
      <w:b/>
      <w:bCs/>
      <w:sz w:val="16"/>
      <w:szCs w:val="16"/>
    </w:rPr>
  </w:style>
  <w:style w:type="paragraph" w:styleId="51" w:customStyle="1">
    <w:name w:val="Основной текст (5)"/>
    <w:basedOn w:val="Normal"/>
    <w:link w:val="5"/>
    <w:qFormat/>
    <w:rsid w:val="00b56d43"/>
    <w:pPr>
      <w:shd w:val="clear" w:color="auto" w:fill="FFFFFF"/>
      <w:spacing w:lineRule="atLeast" w:line="240"/>
    </w:pPr>
    <w:rPr>
      <w:sz w:val="19"/>
      <w:szCs w:val="19"/>
    </w:rPr>
  </w:style>
  <w:style w:type="paragraph" w:styleId="Style35" w:customStyle="1">
    <w:name w:val="Подпись к таблице"/>
    <w:basedOn w:val="Normal"/>
    <w:qFormat/>
    <w:rsid w:val="00b56d43"/>
    <w:pPr>
      <w:shd w:val="clear" w:color="auto" w:fill="FFFFFF"/>
      <w:spacing w:lineRule="exact" w:line="269"/>
    </w:pPr>
    <w:rPr/>
  </w:style>
  <w:style w:type="paragraph" w:styleId="211" w:customStyle="1">
    <w:name w:val="Подпись к таблице (2)1"/>
    <w:basedOn w:val="Normal"/>
    <w:qFormat/>
    <w:rsid w:val="00b56d43"/>
    <w:pPr>
      <w:shd w:val="clear" w:color="auto" w:fill="FFFFFF"/>
      <w:spacing w:lineRule="exact" w:line="269"/>
    </w:pPr>
    <w:rPr>
      <w:b/>
      <w:bCs/>
    </w:rPr>
  </w:style>
  <w:style w:type="paragraph" w:styleId="212" w:customStyle="1">
    <w:name w:val="Основной текст (2)1"/>
    <w:basedOn w:val="Normal"/>
    <w:link w:val="26"/>
    <w:qFormat/>
    <w:rsid w:val="00b56d43"/>
    <w:pPr>
      <w:shd w:val="clear" w:color="auto" w:fill="FFFFFF"/>
      <w:spacing w:lineRule="atLeast" w:line="240"/>
    </w:pPr>
    <w:rPr>
      <w:sz w:val="20"/>
      <w:szCs w:val="20"/>
    </w:rPr>
  </w:style>
  <w:style w:type="paragraph" w:styleId="312" w:customStyle="1">
    <w:name w:val="Подпись к таблице (3)1"/>
    <w:basedOn w:val="Normal"/>
    <w:link w:val="37"/>
    <w:qFormat/>
    <w:rsid w:val="00b56d43"/>
    <w:pPr>
      <w:shd w:val="clear" w:color="auto" w:fill="FFFFFF"/>
      <w:spacing w:lineRule="atLeast" w:line="240"/>
    </w:pPr>
    <w:rPr>
      <w:sz w:val="19"/>
      <w:szCs w:val="19"/>
    </w:rPr>
  </w:style>
  <w:style w:type="paragraph" w:styleId="BodyText3">
    <w:name w:val="Body Text 3"/>
    <w:basedOn w:val="Normal"/>
    <w:link w:val="3a"/>
    <w:qFormat/>
    <w:rsid w:val="00391129"/>
    <w:pPr>
      <w:spacing w:before="0" w:after="120"/>
    </w:pPr>
    <w:rPr>
      <w:sz w:val="16"/>
      <w:szCs w:val="16"/>
    </w:rPr>
  </w:style>
  <w:style w:type="paragraph" w:styleId="19" w:customStyle="1">
    <w:name w:val="Текст1"/>
    <w:basedOn w:val="Normal"/>
    <w:qFormat/>
    <w:rsid w:val="00915538"/>
    <w:pPr>
      <w:overflowPunct w:val="true"/>
      <w:textAlignment w:val="baseline"/>
    </w:pPr>
    <w:rPr>
      <w:rFonts w:ascii="Courier New" w:hAnsi="Courier New"/>
      <w:sz w:val="20"/>
      <w:szCs w:val="20"/>
    </w:rPr>
  </w:style>
  <w:style w:type="paragraph" w:styleId="Default" w:customStyle="1">
    <w:name w:val="default"/>
    <w:basedOn w:val="Normal"/>
    <w:qFormat/>
    <w:rsid w:val="00915538"/>
    <w:pPr>
      <w:spacing w:before="100" w:after="0"/>
    </w:pPr>
    <w:rPr>
      <w:rFonts w:ascii="Tahoma" w:hAnsi="Tahoma" w:eastAsia="Arial Unicode MS" w:cs="Tahoma"/>
      <w:sz w:val="16"/>
      <w:szCs w:val="16"/>
    </w:rPr>
  </w:style>
  <w:style w:type="paragraph" w:styleId="110" w:customStyle="1">
    <w:name w:val="Обычный1"/>
    <w:link w:val="1a"/>
    <w:qFormat/>
    <w:rsid w:val="00915538"/>
    <w:pPr>
      <w:widowControl/>
      <w:bidi w:val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ru-RU" w:eastAsia="ru-RU" w:bidi="ar-SA"/>
    </w:rPr>
  </w:style>
  <w:style w:type="paragraph" w:styleId="213" w:customStyle="1">
    <w:name w:val="Заголовок 21"/>
    <w:basedOn w:val="Normal"/>
    <w:uiPriority w:val="1"/>
    <w:qFormat/>
    <w:rsid w:val="00915538"/>
    <w:pPr>
      <w:widowControl w:val="false"/>
      <w:ind w:left="798" w:hanging="681"/>
      <w:outlineLvl w:val="2"/>
    </w:pPr>
    <w:rPr>
      <w:rFonts w:ascii="Arial" w:hAnsi="Arial" w:eastAsia="Arial"/>
      <w:b/>
      <w:bCs/>
      <w:sz w:val="22"/>
      <w:szCs w:val="22"/>
      <w:lang w:val="en-US" w:eastAsia="en-US"/>
    </w:rPr>
  </w:style>
  <w:style w:type="paragraph" w:styleId="BodyTextIndent2">
    <w:name w:val="Body Text Indent 2"/>
    <w:basedOn w:val="Normal"/>
    <w:link w:val="29"/>
    <w:qFormat/>
    <w:rsid w:val="003647f8"/>
    <w:pPr>
      <w:spacing w:lineRule="auto" w:line="480" w:before="0" w:after="120"/>
      <w:ind w:left="283" w:hanging="0"/>
    </w:pPr>
    <w:rPr/>
  </w:style>
  <w:style w:type="paragraph" w:styleId="112" w:customStyle="1">
    <w:name w:val="заголовок 1"/>
    <w:basedOn w:val="Normal"/>
    <w:next w:val="Normal"/>
    <w:autoRedefine/>
    <w:qFormat/>
    <w:rsid w:val="008f1ff1"/>
    <w:pPr>
      <w:keepNext w:val="true"/>
      <w:keepLines/>
      <w:spacing w:lineRule="auto" w:line="360" w:before="120" w:after="0"/>
      <w:ind w:left="-142" w:right="54" w:hanging="0"/>
      <w:jc w:val="center"/>
    </w:pPr>
    <w:rPr>
      <w:b/>
      <w:kern w:val="2"/>
    </w:rPr>
  </w:style>
  <w:style w:type="paragraph" w:styleId="214" w:customStyle="1">
    <w:name w:val="заголовок 2"/>
    <w:basedOn w:val="Normal"/>
    <w:next w:val="Normal"/>
    <w:qFormat/>
    <w:rsid w:val="003647f8"/>
    <w:pPr>
      <w:keepNext w:val="true"/>
      <w:spacing w:lineRule="auto" w:line="360" w:before="120" w:after="0"/>
    </w:pPr>
    <w:rPr>
      <w:rFonts w:ascii="Arial" w:hAnsi="Arial"/>
      <w:sz w:val="28"/>
      <w:szCs w:val="20"/>
    </w:rPr>
  </w:style>
  <w:style w:type="paragraph" w:styleId="Style36" w:customStyle="1">
    <w:name w:val="Обычный ккк"/>
    <w:basedOn w:val="BlockText"/>
    <w:link w:val="aff"/>
    <w:qFormat/>
    <w:rsid w:val="003647f8"/>
    <w:pPr>
      <w:ind w:left="0" w:right="567" w:firstLine="851"/>
      <w:jc w:val="both"/>
    </w:pPr>
    <w:rPr>
      <w:sz w:val="28"/>
      <w:szCs w:val="20"/>
    </w:rPr>
  </w:style>
  <w:style w:type="paragraph" w:styleId="Style37" w:customStyle="1">
    <w:name w:val="Нормальный"/>
    <w:basedOn w:val="Normal"/>
    <w:qFormat/>
    <w:rsid w:val="003647f8"/>
    <w:pPr>
      <w:spacing w:lineRule="auto" w:line="288"/>
      <w:ind w:firstLine="720"/>
      <w:jc w:val="both"/>
    </w:pPr>
    <w:rPr>
      <w:szCs w:val="20"/>
    </w:rPr>
  </w:style>
  <w:style w:type="paragraph" w:styleId="Xl30" w:customStyle="1">
    <w:name w:val="xl30"/>
    <w:basedOn w:val="Normal"/>
    <w:qFormat/>
    <w:rsid w:val="003647f8"/>
    <w:pPr>
      <w:pBdr>
        <w:left w:val="double" w:sz="6" w:space="0" w:color="000000"/>
      </w:pBdr>
      <w:spacing w:beforeAutospacing="1" w:afterAutospacing="1"/>
    </w:pPr>
    <w:rPr>
      <w:rFonts w:ascii="Arial Unicode MS" w:hAnsi="Arial Unicode MS" w:eastAsia="Arial Unicode MS" w:cs="Arial Unicode MS"/>
    </w:rPr>
  </w:style>
  <w:style w:type="paragraph" w:styleId="BlockText">
    <w:name w:val="Block Text"/>
    <w:basedOn w:val="Normal"/>
    <w:qFormat/>
    <w:rsid w:val="003647f8"/>
    <w:pPr>
      <w:spacing w:before="0" w:after="120"/>
      <w:ind w:left="1440" w:right="1440" w:hanging="0"/>
    </w:pPr>
    <w:rPr/>
  </w:style>
  <w:style w:type="paragraph" w:styleId="ListParagraph">
    <w:name w:val="List Paragraph"/>
    <w:basedOn w:val="Normal"/>
    <w:uiPriority w:val="34"/>
    <w:qFormat/>
    <w:rsid w:val="009a2845"/>
    <w:pPr>
      <w:spacing w:before="0" w:after="0"/>
      <w:ind w:left="720" w:hanging="0"/>
      <w:contextualSpacing/>
    </w:pPr>
    <w:rPr/>
  </w:style>
  <w:style w:type="paragraph" w:styleId="Arial121" w:customStyle="1">
    <w:name w:val="Стиль Стиль Основной текст + Arial 12 пт По ширине + Первая строка:...1"/>
    <w:basedOn w:val="Normal"/>
    <w:qFormat/>
    <w:rsid w:val="00e179ea"/>
    <w:pPr>
      <w:spacing w:before="0" w:after="120"/>
      <w:ind w:firstLine="709"/>
      <w:jc w:val="both"/>
    </w:pPr>
    <w:rPr>
      <w:rFonts w:ascii="Arial" w:hAnsi="Arial" w:cs="Arial"/>
    </w:rPr>
  </w:style>
  <w:style w:type="paragraph" w:styleId="2Arial121" w:customStyle="1">
    <w:name w:val="Стиль Основной текст 2 + Arial 12 пт По ширине Первая строка:  1..."/>
    <w:basedOn w:val="BodyText2"/>
    <w:qFormat/>
    <w:rsid w:val="00e179ea"/>
    <w:pPr>
      <w:spacing w:lineRule="auto" w:line="240"/>
      <w:ind w:right="142" w:firstLine="709"/>
      <w:jc w:val="both"/>
    </w:pPr>
    <w:rPr>
      <w:rFonts w:ascii="Arial" w:hAnsi="Arial" w:cs="Arial"/>
    </w:rPr>
  </w:style>
  <w:style w:type="paragraph" w:styleId="3111" w:customStyle="1">
    <w:name w:val="Основной текст с отступом 311"/>
    <w:basedOn w:val="Normal"/>
    <w:qFormat/>
    <w:rsid w:val="00e179ea"/>
    <w:pPr>
      <w:widowControl w:val="false"/>
      <w:ind w:firstLine="426"/>
      <w:jc w:val="both"/>
    </w:pPr>
    <w:rPr>
      <w:rFonts w:ascii="Tahoma" w:hAnsi="Tahoma"/>
      <w:szCs w:val="22"/>
      <w:lang w:eastAsia="ar-SA"/>
    </w:rPr>
  </w:style>
  <w:style w:type="paragraph" w:styleId="BodyText2">
    <w:name w:val="Body Text 2"/>
    <w:basedOn w:val="Normal"/>
    <w:link w:val="2c"/>
    <w:semiHidden/>
    <w:unhideWhenUsed/>
    <w:qFormat/>
    <w:rsid w:val="00e179ea"/>
    <w:pPr>
      <w:spacing w:lineRule="auto" w:line="480" w:before="0" w:after="120"/>
    </w:pPr>
    <w:rPr/>
  </w:style>
  <w:style w:type="paragraph" w:styleId="ConsPlusNormal" w:customStyle="1">
    <w:name w:val="ConsPlusNormal"/>
    <w:uiPriority w:val="99"/>
    <w:qFormat/>
    <w:rsid w:val="00da61eb"/>
    <w:pPr>
      <w:widowControl w:val="false"/>
      <w:bidi w:val="0"/>
      <w:ind w:firstLine="720"/>
      <w:jc w:val="left"/>
    </w:pPr>
    <w:rPr>
      <w:rFonts w:ascii="Arial" w:hAnsi="Arial" w:cs="Arial" w:eastAsia="Times New Roman"/>
      <w:color w:val="auto"/>
      <w:kern w:val="0"/>
      <w:sz w:val="24"/>
      <w:szCs w:val="20"/>
      <w:lang w:val="ru-RU" w:eastAsia="ru-RU" w:bidi="ar-SA"/>
    </w:rPr>
  </w:style>
  <w:style w:type="paragraph" w:styleId="Default1" w:customStyle="1">
    <w:name w:val="Default"/>
    <w:qFormat/>
    <w:rsid w:val="00326d2c"/>
    <w:pPr>
      <w:widowControl/>
      <w:bidi w:val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ru-RU" w:eastAsia="ru-RU" w:bidi="ar-SA"/>
    </w:rPr>
  </w:style>
  <w:style w:type="paragraph" w:styleId="113" w:customStyle="1">
    <w:name w:val="Основной текст1"/>
    <w:basedOn w:val="Normal"/>
    <w:qFormat/>
    <w:rsid w:val="00326d2c"/>
    <w:pPr>
      <w:widowControl w:val="false"/>
      <w:shd w:val="clear" w:color="auto" w:fill="FFFFFF"/>
      <w:spacing w:lineRule="auto" w:line="264"/>
      <w:ind w:firstLine="300"/>
    </w:pPr>
    <w:rPr>
      <w:sz w:val="19"/>
      <w:szCs w:val="19"/>
    </w:rPr>
  </w:style>
  <w:style w:type="paragraph" w:styleId="Style38">
    <w:name w:val="Содержимое таблицы"/>
    <w:basedOn w:val="Normal"/>
    <w:qFormat/>
    <w:pPr>
      <w:suppressLineNumbers/>
    </w:pPr>
    <w:rPr/>
  </w:style>
  <w:style w:type="paragraph" w:styleId="Style39">
    <w:name w:val="Заголовок таблицы"/>
    <w:basedOn w:val="Style38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2"/>
    <w:uiPriority w:val="59"/>
    <w:rsid w:val="00aa2dfa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yperlink" Target="https://&#1075;&#1080;&#1073;&#1076;&#1076;.&#1088;&#1092;" TargetMode="External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image" Target="media/image7.jpeg"/><Relationship Id="rId10" Type="http://schemas.openxmlformats.org/officeDocument/2006/relationships/image" Target="media/image8.jpeg"/><Relationship Id="rId11" Type="http://schemas.openxmlformats.org/officeDocument/2006/relationships/image" Target="media/image9.jpeg"/><Relationship Id="rId12" Type="http://schemas.openxmlformats.org/officeDocument/2006/relationships/image" Target="media/image10.jpeg"/><Relationship Id="rId13" Type="http://schemas.openxmlformats.org/officeDocument/2006/relationships/image" Target="media/image11.jpeg"/><Relationship Id="rId14" Type="http://schemas.openxmlformats.org/officeDocument/2006/relationships/image" Target="media/image12.jpeg"/><Relationship Id="rId15" Type="http://schemas.openxmlformats.org/officeDocument/2006/relationships/image" Target="media/image13.jpeg"/><Relationship Id="rId16" Type="http://schemas.openxmlformats.org/officeDocument/2006/relationships/image" Target="media/image14.jpeg"/><Relationship Id="rId17" Type="http://schemas.openxmlformats.org/officeDocument/2006/relationships/image" Target="media/image15.jpeg"/><Relationship Id="rId18" Type="http://schemas.openxmlformats.org/officeDocument/2006/relationships/image" Target="media/image16.jpeg"/><Relationship Id="rId19" Type="http://schemas.openxmlformats.org/officeDocument/2006/relationships/header" Target="header1.xml"/><Relationship Id="rId20" Type="http://schemas.openxmlformats.org/officeDocument/2006/relationships/footer" Target="footer1.xml"/><Relationship Id="rId21" Type="http://schemas.openxmlformats.org/officeDocument/2006/relationships/numbering" Target="numbering.xml"/><Relationship Id="rId22" Type="http://schemas.openxmlformats.org/officeDocument/2006/relationships/fontTable" Target="fontTable.xml"/><Relationship Id="rId23" Type="http://schemas.openxmlformats.org/officeDocument/2006/relationships/settings" Target="settings.xml"/><Relationship Id="rId24" Type="http://schemas.openxmlformats.org/officeDocument/2006/relationships/theme" Target="theme/theme1.xml"/><Relationship Id="rId25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D7B22E-CC37-4E08-BD99-D83F1246D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Application>LibreOffice/6.1.5.2$Linux_X86_64 LibreOffice_project/10$Build-2</Application>
  <Pages>18</Pages>
  <Words>3551</Words>
  <Characters>22450</Characters>
  <CharactersWithSpaces>25751</CharactersWithSpaces>
  <Paragraphs>746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2023-02-11T12:30:00Z</dcterms:created>
  <dc:creator>евро-оценка2</dc:creator>
  <dc:description/>
  <dc:language>ru-RU</dc:language>
  <cp:lastModifiedBy/>
  <cp:lastPrinted>2017-12-06T14:12:00Z</cp:lastPrinted>
  <dcterms:modified xsi:type="dcterms:W3CDTF">2023-07-19T09:25:52Z</dcterms:modified>
  <cp:revision>6</cp:revision>
  <dc:subject/>
  <dc:title>ОТЧЕТ № СПБ1-0714                                                                                               Европейский Центр Оценки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